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D2A2" w14:textId="27F77A33" w:rsidR="00C4122F" w:rsidRPr="0084351E" w:rsidRDefault="00C4122F" w:rsidP="00600928">
      <w:pPr>
        <w:jc w:val="center"/>
        <w:rPr>
          <w:rFonts w:ascii="DecimaWE Rg" w:hAnsi="DecimaWE Rg"/>
          <w:b/>
          <w:bCs/>
          <w:noProof/>
          <w:sz w:val="36"/>
          <w:szCs w:val="36"/>
          <w:lang w:eastAsia="it-IT"/>
        </w:rPr>
      </w:pPr>
      <w:r w:rsidRPr="00B254E2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ED47" wp14:editId="3E1370B8">
                <wp:simplePos x="0" y="0"/>
                <wp:positionH relativeFrom="column">
                  <wp:posOffset>-83986</wp:posOffset>
                </wp:positionH>
                <wp:positionV relativeFrom="paragraph">
                  <wp:posOffset>-340829</wp:posOffset>
                </wp:positionV>
                <wp:extent cx="6353093" cy="2608027"/>
                <wp:effectExtent l="0" t="0" r="10160" b="20955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093" cy="26080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FBE53" id="Rettangolo 3" o:spid="_x0000_s1026" alt="Titolo: riquadro intestazione" style="position:absolute;margin-left:-6.6pt;margin-top:-26.85pt;width:500.2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" filled="f"/>
            </w:pict>
          </mc:Fallback>
        </mc:AlternateContent>
      </w:r>
      <w:r w:rsidRPr="00B254E2">
        <w:rPr>
          <w:rFonts w:ascii="DecimaWE Rg" w:hAnsi="DecimaWE Rg"/>
          <w:b/>
          <w:bCs/>
          <w:noProof/>
          <w:sz w:val="36"/>
          <w:szCs w:val="36"/>
          <w:lang w:eastAsia="it-IT"/>
        </w:rPr>
        <w:t xml:space="preserve">ALLEGATO </w:t>
      </w:r>
      <w:r w:rsidR="00FD7DB9" w:rsidRPr="002F2BA2">
        <w:rPr>
          <w:rFonts w:ascii="DecimaWE Rg" w:hAnsi="DecimaWE Rg"/>
          <w:b/>
          <w:bCs/>
          <w:noProof/>
          <w:sz w:val="36"/>
          <w:szCs w:val="36"/>
          <w:lang w:eastAsia="it-IT"/>
        </w:rPr>
        <w:t>B</w:t>
      </w:r>
      <w:r w:rsidR="008D6262" w:rsidRPr="002F2BA2">
        <w:rPr>
          <w:rFonts w:ascii="DecimaWE Rg" w:hAnsi="DecimaWE Rg"/>
          <w:b/>
          <w:bCs/>
          <w:noProof/>
          <w:sz w:val="36"/>
          <w:szCs w:val="36"/>
          <w:lang w:eastAsia="it-IT"/>
        </w:rPr>
        <w:t>4</w:t>
      </w:r>
      <w:r w:rsidR="003447CA" w:rsidRPr="00B254E2">
        <w:rPr>
          <w:rFonts w:ascii="DecimaWE Rg" w:hAnsi="DecimaWE Rg"/>
          <w:b/>
          <w:bCs/>
          <w:noProof/>
          <w:sz w:val="36"/>
          <w:szCs w:val="36"/>
          <w:lang w:eastAsia="it-IT"/>
        </w:rPr>
        <w:t>/</w:t>
      </w:r>
      <w:r w:rsidR="003447CA" w:rsidRPr="0084351E">
        <w:rPr>
          <w:rFonts w:ascii="DecimaWE Rg" w:hAnsi="DecimaWE Rg"/>
          <w:b/>
          <w:bCs/>
          <w:noProof/>
          <w:sz w:val="36"/>
          <w:szCs w:val="36"/>
          <w:lang w:eastAsia="it-IT"/>
        </w:rPr>
        <w:t>2023</w:t>
      </w:r>
      <w:r w:rsidR="00CA1185" w:rsidRPr="0084351E">
        <w:rPr>
          <w:rFonts w:ascii="DecimaWE Rg" w:hAnsi="DecimaWE Rg"/>
          <w:b/>
          <w:bCs/>
          <w:noProof/>
          <w:sz w:val="36"/>
          <w:szCs w:val="36"/>
          <w:lang w:eastAsia="it-IT"/>
        </w:rPr>
        <w:t>_eme nov19</w:t>
      </w:r>
    </w:p>
    <w:p w14:paraId="3AA9884A" w14:textId="5E955448" w:rsidR="00C4122F" w:rsidRPr="0084351E" w:rsidRDefault="00C4122F">
      <w:pPr>
        <w:jc w:val="center"/>
        <w:rPr>
          <w:rFonts w:ascii="DecimaWE Rg" w:hAnsi="DecimaWE Rg"/>
          <w:b/>
          <w:bCs/>
          <w:noProof/>
          <w:sz w:val="36"/>
          <w:szCs w:val="36"/>
          <w:lang w:eastAsia="it-IT"/>
        </w:rPr>
      </w:pPr>
      <w:r w:rsidRPr="0084351E">
        <w:rPr>
          <w:rFonts w:ascii="DecimaWE Rg" w:hAnsi="DecimaWE Rg"/>
          <w:b/>
          <w:bCs/>
          <w:noProof/>
          <w:sz w:val="36"/>
          <w:szCs w:val="36"/>
          <w:lang w:eastAsia="it-IT"/>
        </w:rPr>
        <w:t>“</w:t>
      </w:r>
      <w:r w:rsidR="008E2568" w:rsidRPr="008E2568">
        <w:rPr>
          <w:rFonts w:ascii="DecimaWE Rg" w:hAnsi="DecimaWE Rg"/>
          <w:b/>
          <w:bCs/>
          <w:noProof/>
          <w:sz w:val="36"/>
          <w:szCs w:val="36"/>
          <w:u w:val="single"/>
          <w:lang w:eastAsia="it-IT"/>
        </w:rPr>
        <w:t>Modalità di concessione ed erogazione - privati</w:t>
      </w:r>
      <w:r w:rsidRPr="0084351E">
        <w:rPr>
          <w:rFonts w:ascii="DecimaWE Rg" w:hAnsi="DecimaWE Rg"/>
          <w:b/>
          <w:bCs/>
          <w:noProof/>
          <w:sz w:val="36"/>
          <w:szCs w:val="36"/>
          <w:u w:val="single"/>
          <w:lang w:eastAsia="it-IT"/>
        </w:rPr>
        <w:t>”</w:t>
      </w:r>
    </w:p>
    <w:p w14:paraId="14DE46E4" w14:textId="463D7CD6" w:rsidR="00C4122F" w:rsidRPr="0084351E" w:rsidRDefault="00C4122F" w:rsidP="008523A2">
      <w:pPr>
        <w:autoSpaceDE w:val="0"/>
        <w:autoSpaceDN w:val="0"/>
        <w:adjustRightInd w:val="0"/>
        <w:spacing w:after="0"/>
        <w:ind w:right="142"/>
        <w:jc w:val="center"/>
        <w:rPr>
          <w:rFonts w:ascii="DecimaWE Rg" w:hAnsi="DecimaWE Rg"/>
          <w:b/>
          <w:bCs/>
          <w:sz w:val="28"/>
          <w:szCs w:val="28"/>
        </w:rPr>
      </w:pPr>
      <w:r w:rsidRPr="0084351E">
        <w:rPr>
          <w:rFonts w:ascii="DecimaWE Rg" w:hAnsi="DecimaWE Rg"/>
          <w:b/>
          <w:bCs/>
          <w:sz w:val="28"/>
          <w:szCs w:val="28"/>
        </w:rPr>
        <w:t xml:space="preserve">Contributi </w:t>
      </w:r>
      <w:r w:rsidR="0082155D" w:rsidRPr="0084351E">
        <w:rPr>
          <w:rFonts w:ascii="DecimaWE Rg" w:hAnsi="DecimaWE Rg"/>
          <w:b/>
          <w:bCs/>
          <w:sz w:val="28"/>
          <w:szCs w:val="28"/>
        </w:rPr>
        <w:t>per i soggetti privati per</w:t>
      </w:r>
      <w:r w:rsidR="008523A2" w:rsidRPr="0084351E">
        <w:rPr>
          <w:rFonts w:ascii="DecimaWE Rg" w:hAnsi="DecimaWE Rg"/>
          <w:b/>
          <w:bCs/>
          <w:sz w:val="28"/>
          <w:szCs w:val="28"/>
        </w:rPr>
        <w:t xml:space="preserve"> i danni occorsi al patrimonio edilizio abitativo ed ai beni mobili</w:t>
      </w:r>
    </w:p>
    <w:p w14:paraId="2E5261A9" w14:textId="77777777" w:rsidR="00C4122F" w:rsidRPr="0084351E" w:rsidRDefault="00C4122F">
      <w:pPr>
        <w:autoSpaceDE w:val="0"/>
        <w:autoSpaceDN w:val="0"/>
        <w:adjustRightInd w:val="0"/>
        <w:ind w:right="142"/>
        <w:jc w:val="center"/>
        <w:rPr>
          <w:rFonts w:ascii="DecimaWE Rg" w:hAnsi="DecimaWE Rg"/>
          <w:b/>
          <w:bCs/>
          <w:i/>
          <w:sz w:val="20"/>
          <w:szCs w:val="36"/>
        </w:rPr>
      </w:pPr>
      <w:r w:rsidRPr="0084351E">
        <w:rPr>
          <w:rFonts w:ascii="DecimaWE Rg" w:hAnsi="DecimaWE Rg"/>
          <w:bCs/>
          <w:i/>
          <w:sz w:val="20"/>
          <w:szCs w:val="36"/>
        </w:rPr>
        <w:t>(art.</w:t>
      </w:r>
      <w:r w:rsidRPr="0084351E">
        <w:rPr>
          <w:rFonts w:ascii="DecimaWE Rg" w:eastAsia="Times New Roman" w:hAnsi="DecimaWE Rg" w:cs="Times New Roman"/>
          <w:bCs/>
          <w:kern w:val="36"/>
          <w:sz w:val="48"/>
          <w:szCs w:val="48"/>
          <w:lang w:eastAsia="it-IT"/>
        </w:rPr>
        <w:t xml:space="preserve"> </w:t>
      </w:r>
      <w:r w:rsidRPr="0084351E">
        <w:rPr>
          <w:rFonts w:ascii="DecimaWE Rg" w:eastAsia="Calibri" w:hAnsi="DecimaWE Rg" w:cs="Times New Roman"/>
          <w:bCs/>
          <w:i/>
          <w:sz w:val="20"/>
          <w:szCs w:val="36"/>
        </w:rPr>
        <w:t>1, comma 448, della legge 30 dicembre 2021, n. 234</w:t>
      </w:r>
      <w:r w:rsidRPr="0084351E">
        <w:rPr>
          <w:rFonts w:ascii="DecimaWE Rg" w:hAnsi="DecimaWE Rg"/>
          <w:bCs/>
          <w:i/>
          <w:sz w:val="20"/>
          <w:szCs w:val="36"/>
        </w:rPr>
        <w:t>)</w:t>
      </w:r>
    </w:p>
    <w:p w14:paraId="29795927" w14:textId="77777777" w:rsidR="00C4122F" w:rsidRPr="0084351E" w:rsidRDefault="00C4122F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hAnsi="DecimaWE Rg"/>
          <w:b/>
          <w:bCs/>
          <w:sz w:val="28"/>
          <w:szCs w:val="28"/>
        </w:rPr>
      </w:pPr>
      <w:r w:rsidRPr="0084351E">
        <w:rPr>
          <w:rFonts w:ascii="DecimaWE Rg" w:hAnsi="DecimaWE Rg"/>
          <w:b/>
          <w:bCs/>
          <w:sz w:val="28"/>
          <w:szCs w:val="28"/>
        </w:rPr>
        <w:t>EVENTI CALAMITOSI DAL 12 NOVEMBRE 2019</w:t>
      </w:r>
    </w:p>
    <w:p w14:paraId="2F5DEEF5" w14:textId="35DBD220" w:rsidR="00F91C8C" w:rsidRPr="0084351E" w:rsidRDefault="00C4122F" w:rsidP="00CE7332">
      <w:pPr>
        <w:jc w:val="center"/>
        <w:rPr>
          <w:rFonts w:ascii="DecimaWE Rg" w:hAnsi="DecimaWE Rg"/>
          <w:b/>
          <w:bCs/>
          <w:sz w:val="28"/>
          <w:szCs w:val="28"/>
        </w:rPr>
      </w:pPr>
      <w:r w:rsidRPr="0084351E">
        <w:rPr>
          <w:rFonts w:ascii="DecimaWE Rg" w:hAnsi="DecimaWE Rg"/>
          <w:b/>
          <w:bCs/>
          <w:sz w:val="28"/>
          <w:szCs w:val="28"/>
        </w:rPr>
        <w:t xml:space="preserve">Allegato </w:t>
      </w:r>
      <w:r w:rsidR="008D6262" w:rsidRPr="0084351E">
        <w:rPr>
          <w:rFonts w:ascii="DecimaWE Rg" w:hAnsi="DecimaWE Rg"/>
          <w:b/>
          <w:bCs/>
          <w:sz w:val="28"/>
          <w:szCs w:val="28"/>
        </w:rPr>
        <w:t>B</w:t>
      </w:r>
      <w:r w:rsidRPr="0084351E">
        <w:rPr>
          <w:rFonts w:ascii="DecimaWE Rg" w:hAnsi="DecimaWE Rg"/>
          <w:b/>
          <w:bCs/>
          <w:sz w:val="28"/>
          <w:szCs w:val="28"/>
        </w:rPr>
        <w:t xml:space="preserve"> all’OCDPC 13 ottobre 2022, n. 932 (G.U. n. 248 del 22 ottobre 2022)</w:t>
      </w:r>
      <w:r w:rsidR="006B52E4" w:rsidRPr="0084351E">
        <w:rPr>
          <w:rFonts w:ascii="DecimaWE Rg" w:hAnsi="DecimaWE Rg"/>
          <w:b/>
          <w:bCs/>
          <w:sz w:val="28"/>
          <w:szCs w:val="28"/>
        </w:rPr>
        <w:t xml:space="preserve"> e OCDPC n. 1009 del 21 giugno 2023 (G.U. 151 del 30 giugno 2023)</w:t>
      </w:r>
    </w:p>
    <w:p w14:paraId="74725D8C" w14:textId="530E8711" w:rsidR="00C4122F" w:rsidRDefault="00C4122F" w:rsidP="00F579E8">
      <w:pPr>
        <w:rPr>
          <w:rFonts w:ascii="DecimaWE Rg" w:hAnsi="DecimaWE Rg"/>
          <w:b/>
        </w:rPr>
      </w:pPr>
    </w:p>
    <w:p w14:paraId="627BC7F5" w14:textId="77777777" w:rsidR="00A324E5" w:rsidRPr="0084351E" w:rsidRDefault="00A324E5" w:rsidP="00F579E8">
      <w:pPr>
        <w:rPr>
          <w:rFonts w:ascii="DecimaWE Rg" w:hAnsi="DecimaWE Rg"/>
          <w:b/>
        </w:rPr>
      </w:pPr>
      <w:r w:rsidRPr="0084351E">
        <w:rPr>
          <w:rFonts w:ascii="DecimaWE Rg" w:hAnsi="DecimaWE Rg"/>
          <w:b/>
        </w:rPr>
        <w:t>Articolo 1 –</w:t>
      </w:r>
      <w:r w:rsidR="00564260" w:rsidRPr="0084351E">
        <w:rPr>
          <w:rFonts w:ascii="DecimaWE Rg" w:hAnsi="DecimaWE Rg"/>
          <w:b/>
        </w:rPr>
        <w:t xml:space="preserve"> Soggetti co</w:t>
      </w:r>
      <w:r w:rsidR="009127B9" w:rsidRPr="0084351E">
        <w:rPr>
          <w:rFonts w:ascii="DecimaWE Rg" w:hAnsi="DecimaWE Rg"/>
          <w:b/>
        </w:rPr>
        <w:t xml:space="preserve">ncedenti e </w:t>
      </w:r>
      <w:r w:rsidR="00B76960" w:rsidRPr="0084351E">
        <w:rPr>
          <w:rFonts w:ascii="DecimaWE Rg" w:hAnsi="DecimaWE Rg"/>
          <w:b/>
        </w:rPr>
        <w:t>beneficiari</w:t>
      </w:r>
    </w:p>
    <w:p w14:paraId="41B2E4D6" w14:textId="3484506F" w:rsidR="00D06FA8" w:rsidRPr="0084351E" w:rsidRDefault="003447CA" w:rsidP="00C5081A">
      <w:pPr>
        <w:pStyle w:val="Paragrafoelenco"/>
        <w:numPr>
          <w:ilvl w:val="0"/>
          <w:numId w:val="25"/>
        </w:numPr>
        <w:jc w:val="both"/>
        <w:rPr>
          <w:rFonts w:ascii="DecimaWE Rg" w:hAnsi="DecimaWE Rg"/>
        </w:rPr>
      </w:pPr>
      <w:r w:rsidRPr="0084351E">
        <w:rPr>
          <w:rFonts w:ascii="DecimaWE Rg" w:hAnsi="DecimaWE Rg"/>
        </w:rPr>
        <w:t>I Comuni individuati Soggetti Attuatori ai s</w:t>
      </w:r>
      <w:r w:rsidR="008D6262" w:rsidRPr="0084351E">
        <w:rPr>
          <w:rFonts w:ascii="DecimaWE Rg" w:hAnsi="DecimaWE Rg"/>
        </w:rPr>
        <w:t>ensi del DCR/52</w:t>
      </w:r>
      <w:r w:rsidR="0084351E" w:rsidRPr="0084351E">
        <w:rPr>
          <w:rFonts w:ascii="DecimaWE Rg" w:hAnsi="DecimaWE Rg"/>
        </w:rPr>
        <w:t>/SR12/2022, che abbian</w:t>
      </w:r>
      <w:r w:rsidRPr="0084351E">
        <w:rPr>
          <w:rFonts w:ascii="DecimaWE Rg" w:hAnsi="DecimaWE Rg"/>
        </w:rPr>
        <w:t xml:space="preserve">o </w:t>
      </w:r>
      <w:r w:rsidR="00564260" w:rsidRPr="0084351E">
        <w:rPr>
          <w:rFonts w:ascii="DecimaWE Rg" w:hAnsi="DecimaWE Rg"/>
        </w:rPr>
        <w:t xml:space="preserve">già provveduto, </w:t>
      </w:r>
      <w:r w:rsidRPr="0084351E">
        <w:rPr>
          <w:rFonts w:ascii="DecimaWE Rg" w:hAnsi="DecimaWE Rg"/>
        </w:rPr>
        <w:t xml:space="preserve">ai sensi </w:t>
      </w:r>
      <w:r w:rsidR="008D6262" w:rsidRPr="0084351E">
        <w:rPr>
          <w:rFonts w:ascii="DecimaWE Rg" w:hAnsi="DecimaWE Rg"/>
        </w:rPr>
        <w:t>del DCR/67/SR12/2022</w:t>
      </w:r>
      <w:r w:rsidR="0082155D" w:rsidRPr="0084351E">
        <w:rPr>
          <w:rFonts w:ascii="DecimaWE Rg" w:hAnsi="DecimaWE Rg"/>
        </w:rPr>
        <w:t xml:space="preserve"> (“</w:t>
      </w:r>
      <w:r w:rsidR="0082155D" w:rsidRPr="0084351E">
        <w:rPr>
          <w:rFonts w:ascii="DecimaWE Rg" w:hAnsi="DecimaWE Rg"/>
          <w:i/>
        </w:rPr>
        <w:t>Modalità tecniche per la gestione delle domande di contributo dei soggetti privati</w:t>
      </w:r>
      <w:r w:rsidR="0082155D" w:rsidRPr="0084351E">
        <w:rPr>
          <w:rFonts w:ascii="DecimaWE Rg" w:hAnsi="DecimaWE Rg"/>
        </w:rPr>
        <w:t>”)</w:t>
      </w:r>
      <w:r w:rsidR="008D6262" w:rsidRPr="0084351E">
        <w:rPr>
          <w:rFonts w:ascii="DecimaWE Rg" w:hAnsi="DecimaWE Rg"/>
        </w:rPr>
        <w:t xml:space="preserve">, </w:t>
      </w:r>
      <w:r w:rsidR="00564260" w:rsidRPr="0084351E">
        <w:rPr>
          <w:rFonts w:ascii="DecimaWE Rg" w:hAnsi="DecimaWE Rg"/>
        </w:rPr>
        <w:t>a trasmettere gli esiti istruttori delle domande ritenute ammissibili</w:t>
      </w:r>
      <w:r w:rsidR="0082155D" w:rsidRPr="0084351E">
        <w:rPr>
          <w:rFonts w:ascii="DecimaWE Rg" w:hAnsi="DecimaWE Rg"/>
        </w:rPr>
        <w:t>,</w:t>
      </w:r>
      <w:r w:rsidR="00564260" w:rsidRPr="0084351E">
        <w:rPr>
          <w:rFonts w:ascii="DecimaWE Rg" w:hAnsi="DecimaWE Rg"/>
        </w:rPr>
        <w:t xml:space="preserve"> ai sensi dell’Allegato </w:t>
      </w:r>
      <w:r w:rsidR="008D6262" w:rsidRPr="0084351E">
        <w:rPr>
          <w:rFonts w:ascii="DecimaWE Rg" w:hAnsi="DecimaWE Rg"/>
        </w:rPr>
        <w:t xml:space="preserve">B </w:t>
      </w:r>
      <w:r w:rsidR="00564260" w:rsidRPr="0084351E">
        <w:rPr>
          <w:rFonts w:ascii="DecimaWE Rg" w:hAnsi="DecimaWE Rg"/>
        </w:rPr>
        <w:t>all’OCDPC n. 932/2022</w:t>
      </w:r>
      <w:r w:rsidR="0082155D" w:rsidRPr="0084351E">
        <w:rPr>
          <w:rFonts w:ascii="DecimaWE Rg" w:hAnsi="DecimaWE Rg"/>
        </w:rPr>
        <w:t>,</w:t>
      </w:r>
      <w:r w:rsidR="00564260" w:rsidRPr="0084351E">
        <w:rPr>
          <w:rFonts w:ascii="DecimaWE Rg" w:hAnsi="DecimaWE Rg"/>
        </w:rPr>
        <w:t xml:space="preserve"> all’indirizzo PEC </w:t>
      </w:r>
      <w:hyperlink r:id="rId7" w:history="1">
        <w:r w:rsidR="00564260" w:rsidRPr="0084351E">
          <w:rPr>
            <w:rStyle w:val="Collegamentoipertestuale"/>
            <w:rFonts w:ascii="DecimaWE Rg" w:hAnsi="DecimaWE Rg"/>
            <w:color w:val="auto"/>
          </w:rPr>
          <w:t>emergenza.novembre2019@certregione.fvg.it</w:t>
        </w:r>
      </w:hyperlink>
      <w:r w:rsidR="00564260" w:rsidRPr="0084351E">
        <w:rPr>
          <w:rFonts w:ascii="DecimaWE Rg" w:hAnsi="DecimaWE Rg"/>
        </w:rPr>
        <w:t>, provvedono all’adozione dei provvediment</w:t>
      </w:r>
      <w:r w:rsidR="009127B9" w:rsidRPr="0084351E">
        <w:rPr>
          <w:rFonts w:ascii="DecimaWE Rg" w:hAnsi="DecimaWE Rg"/>
        </w:rPr>
        <w:t>i di concessione.</w:t>
      </w:r>
    </w:p>
    <w:p w14:paraId="0701AFA0" w14:textId="22D81E5B" w:rsidR="009127B9" w:rsidRPr="0084351E" w:rsidRDefault="009127B9" w:rsidP="00C5081A">
      <w:pPr>
        <w:pStyle w:val="Paragrafoelenco"/>
        <w:numPr>
          <w:ilvl w:val="0"/>
          <w:numId w:val="25"/>
        </w:numPr>
        <w:jc w:val="both"/>
        <w:rPr>
          <w:rFonts w:ascii="DecimaWE Rg" w:hAnsi="DecimaWE Rg"/>
        </w:rPr>
      </w:pPr>
      <w:r w:rsidRPr="0084351E">
        <w:rPr>
          <w:rFonts w:ascii="DecimaWE Rg" w:hAnsi="DecimaWE Rg"/>
        </w:rPr>
        <w:t>I provvedimenti di concessione sono adottati da parte delle Amministrazioni comunali di cui</w:t>
      </w:r>
      <w:r w:rsidR="008D6262" w:rsidRPr="0084351E">
        <w:rPr>
          <w:rFonts w:ascii="DecimaWE Rg" w:hAnsi="DecimaWE Rg"/>
        </w:rPr>
        <w:t xml:space="preserve"> al comma 1 nei confronti dei soggetti privati </w:t>
      </w:r>
      <w:r w:rsidRPr="0084351E">
        <w:rPr>
          <w:rFonts w:ascii="DecimaWE Rg" w:hAnsi="DecimaWE Rg"/>
        </w:rPr>
        <w:t xml:space="preserve">la cui posizione è stata ritenuta ammissibile a contributo in conformità alle disposizioni di cui all’OCDPC n. 932/2022 ed è stata oggetto di segnalazione ai sensi del </w:t>
      </w:r>
      <w:r w:rsidR="008D6262" w:rsidRPr="0084351E">
        <w:rPr>
          <w:rFonts w:ascii="DecimaWE Rg" w:hAnsi="DecimaWE Rg"/>
        </w:rPr>
        <w:t>punto 1 del DCR/67/SR12/2022.</w:t>
      </w:r>
    </w:p>
    <w:p w14:paraId="36EA2657" w14:textId="242360D4" w:rsidR="00255F46" w:rsidRPr="0084351E" w:rsidRDefault="00003812" w:rsidP="0082155D">
      <w:pPr>
        <w:pStyle w:val="Paragrafoelenco"/>
        <w:numPr>
          <w:ilvl w:val="0"/>
          <w:numId w:val="25"/>
        </w:numPr>
        <w:jc w:val="both"/>
        <w:rPr>
          <w:rFonts w:ascii="DecimaWE Rg" w:hAnsi="DecimaWE Rg"/>
        </w:rPr>
      </w:pPr>
      <w:r w:rsidRPr="0084351E">
        <w:rPr>
          <w:rFonts w:ascii="DecimaWE Rg" w:hAnsi="DecimaWE Rg"/>
        </w:rPr>
        <w:t xml:space="preserve">I provvedimenti di concessione sono adottati in conformità tra l’altro alle disposizioni di cui all’Allegato </w:t>
      </w:r>
      <w:r w:rsidR="008D6262" w:rsidRPr="0084351E">
        <w:rPr>
          <w:rFonts w:ascii="DecimaWE Rg" w:hAnsi="DecimaWE Rg"/>
        </w:rPr>
        <w:t xml:space="preserve">B </w:t>
      </w:r>
      <w:r w:rsidR="0084351E">
        <w:rPr>
          <w:rFonts w:ascii="DecimaWE Rg" w:hAnsi="DecimaWE Rg"/>
        </w:rPr>
        <w:t>(“</w:t>
      </w:r>
      <w:r w:rsidR="0084351E" w:rsidRPr="0084351E">
        <w:rPr>
          <w:rFonts w:ascii="DecimaWE Rg" w:hAnsi="DecimaWE Rg"/>
          <w:i/>
        </w:rPr>
        <w:t>Criteri direttivi per la determinazione dei contributi ai soggetti privati per i danni occorsi al patrimonio edilizio abitativo ed ai beni mobili</w:t>
      </w:r>
      <w:r w:rsidR="0084351E">
        <w:rPr>
          <w:rFonts w:ascii="DecimaWE Rg" w:hAnsi="DecimaWE Rg"/>
        </w:rPr>
        <w:t>”)</w:t>
      </w:r>
      <w:r w:rsidR="0084351E" w:rsidRPr="0084351E">
        <w:rPr>
          <w:rFonts w:ascii="DecimaWE Rg" w:hAnsi="DecimaWE Rg"/>
        </w:rPr>
        <w:t xml:space="preserve"> </w:t>
      </w:r>
      <w:r w:rsidRPr="0084351E">
        <w:rPr>
          <w:rFonts w:ascii="DecimaWE Rg" w:hAnsi="DecimaWE Rg"/>
        </w:rPr>
        <w:t>all’OCDPC n. 932/2022 e all’OCDPC n. 1009/2023.</w:t>
      </w:r>
    </w:p>
    <w:p w14:paraId="684217D9" w14:textId="77777777" w:rsidR="0082155D" w:rsidRPr="0084351E" w:rsidRDefault="0082155D" w:rsidP="0082155D">
      <w:pPr>
        <w:pStyle w:val="Paragrafoelenco"/>
        <w:jc w:val="both"/>
        <w:rPr>
          <w:rFonts w:ascii="DecimaWE Rg" w:hAnsi="DecimaWE Rg"/>
        </w:rPr>
      </w:pPr>
    </w:p>
    <w:p w14:paraId="4FCDB9B0" w14:textId="7D167E8D" w:rsidR="00F91C8C" w:rsidRPr="0084351E" w:rsidRDefault="00F579E8" w:rsidP="00F579E8">
      <w:pPr>
        <w:rPr>
          <w:rFonts w:ascii="DecimaWE Rg" w:hAnsi="DecimaWE Rg"/>
          <w:b/>
        </w:rPr>
      </w:pPr>
      <w:r w:rsidRPr="0084351E">
        <w:rPr>
          <w:rFonts w:ascii="DecimaWE Rg" w:hAnsi="DecimaWE Rg"/>
          <w:b/>
        </w:rPr>
        <w:t xml:space="preserve">Articolo </w:t>
      </w:r>
      <w:r w:rsidR="008D6262" w:rsidRPr="0084351E">
        <w:rPr>
          <w:rFonts w:ascii="DecimaWE Rg" w:hAnsi="DecimaWE Rg"/>
          <w:b/>
        </w:rPr>
        <w:t>2</w:t>
      </w:r>
      <w:r w:rsidRPr="0084351E">
        <w:rPr>
          <w:rFonts w:ascii="DecimaWE Rg" w:hAnsi="DecimaWE Rg"/>
          <w:b/>
        </w:rPr>
        <w:t xml:space="preserve"> </w:t>
      </w:r>
      <w:r w:rsidR="00CB4890" w:rsidRPr="0084351E">
        <w:rPr>
          <w:rFonts w:ascii="DecimaWE Rg" w:hAnsi="DecimaWE Rg"/>
          <w:b/>
        </w:rPr>
        <w:t>–</w:t>
      </w:r>
      <w:r w:rsidRPr="0084351E">
        <w:rPr>
          <w:rFonts w:ascii="DecimaWE Rg" w:hAnsi="DecimaWE Rg"/>
          <w:b/>
        </w:rPr>
        <w:t xml:space="preserve"> </w:t>
      </w:r>
      <w:r w:rsidR="00255F46" w:rsidRPr="0084351E">
        <w:rPr>
          <w:rFonts w:ascii="DecimaWE Rg" w:hAnsi="DecimaWE Rg"/>
          <w:b/>
        </w:rPr>
        <w:t>Termini e modalità per l’adozione dei provvedimenti di concessione</w:t>
      </w:r>
    </w:p>
    <w:p w14:paraId="61839A69" w14:textId="1152F083" w:rsidR="008D6262" w:rsidRPr="0084351E" w:rsidRDefault="008E2568" w:rsidP="008D6262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Le</w:t>
      </w:r>
      <w:r w:rsidR="00254F37" w:rsidRPr="0084351E">
        <w:rPr>
          <w:rFonts w:ascii="DecimaWE Rg" w:hAnsi="DecimaWE Rg"/>
        </w:rPr>
        <w:t xml:space="preserve"> Amministrazioni comunali</w:t>
      </w:r>
      <w:r w:rsidR="00E713BE" w:rsidRPr="0084351E">
        <w:rPr>
          <w:rFonts w:ascii="DecimaWE Rg" w:hAnsi="DecimaWE Rg"/>
        </w:rPr>
        <w:t xml:space="preserve"> </w:t>
      </w:r>
      <w:r w:rsidR="00254F37" w:rsidRPr="0084351E">
        <w:rPr>
          <w:rFonts w:ascii="DecimaWE Rg" w:hAnsi="DecimaWE Rg"/>
        </w:rPr>
        <w:t xml:space="preserve">di cui all’articolo1 del presente allegato </w:t>
      </w:r>
      <w:r w:rsidR="00254F37" w:rsidRPr="00313974">
        <w:rPr>
          <w:rFonts w:ascii="DecimaWE Rg" w:hAnsi="DecimaWE Rg"/>
        </w:rPr>
        <w:t xml:space="preserve">adottano i </w:t>
      </w:r>
      <w:r w:rsidR="00E713BE" w:rsidRPr="00313974">
        <w:rPr>
          <w:rFonts w:ascii="DecimaWE Rg" w:hAnsi="DecimaWE Rg"/>
        </w:rPr>
        <w:t xml:space="preserve">provvedimenti di concessione </w:t>
      </w:r>
      <w:r w:rsidR="00254F37" w:rsidRPr="00411339">
        <w:rPr>
          <w:rFonts w:ascii="DecimaWE Rg" w:hAnsi="DecimaWE Rg"/>
        </w:rPr>
        <w:t>ai sensi dell’Allegato B all’OCDPC n.932/2022</w:t>
      </w:r>
      <w:r w:rsidR="0084351E" w:rsidRPr="0034096F">
        <w:rPr>
          <w:rFonts w:ascii="DecimaWE Rg" w:hAnsi="DecimaWE Rg"/>
        </w:rPr>
        <w:t xml:space="preserve"> </w:t>
      </w:r>
      <w:r w:rsidR="008D6262" w:rsidRPr="002F2BA2">
        <w:rPr>
          <w:rFonts w:ascii="DecimaWE Rg" w:hAnsi="DecimaWE Rg"/>
        </w:rPr>
        <w:t>entro il</w:t>
      </w:r>
      <w:r w:rsidR="004C329D" w:rsidRPr="002F2BA2">
        <w:rPr>
          <w:rFonts w:ascii="DecimaWE Rg" w:hAnsi="DecimaWE Rg"/>
        </w:rPr>
        <w:t xml:space="preserve"> termine del</w:t>
      </w:r>
      <w:r w:rsidR="008D6262" w:rsidRPr="002F2BA2">
        <w:rPr>
          <w:rFonts w:ascii="DecimaWE Rg" w:hAnsi="DecimaWE Rg"/>
        </w:rPr>
        <w:t xml:space="preserve"> </w:t>
      </w:r>
      <w:r w:rsidRPr="002F2BA2">
        <w:rPr>
          <w:rFonts w:ascii="DecimaWE Rg" w:hAnsi="DecimaWE Rg"/>
        </w:rPr>
        <w:t>15</w:t>
      </w:r>
      <w:r w:rsidR="00254F37" w:rsidRPr="002F2BA2">
        <w:rPr>
          <w:rFonts w:ascii="DecimaWE Rg" w:hAnsi="DecimaWE Rg"/>
        </w:rPr>
        <w:t>/</w:t>
      </w:r>
      <w:r w:rsidR="00692C60" w:rsidRPr="002F2BA2">
        <w:rPr>
          <w:rFonts w:ascii="DecimaWE Rg" w:hAnsi="DecimaWE Rg"/>
        </w:rPr>
        <w:t>03</w:t>
      </w:r>
      <w:r w:rsidR="00254F37" w:rsidRPr="002F2BA2">
        <w:rPr>
          <w:rFonts w:ascii="DecimaWE Rg" w:hAnsi="DecimaWE Rg"/>
        </w:rPr>
        <w:t>/</w:t>
      </w:r>
      <w:r w:rsidRPr="002F2BA2">
        <w:rPr>
          <w:rFonts w:ascii="DecimaWE Rg" w:hAnsi="DecimaWE Rg"/>
        </w:rPr>
        <w:t>2024</w:t>
      </w:r>
      <w:r w:rsidR="0084351E" w:rsidRPr="00313974">
        <w:rPr>
          <w:rFonts w:ascii="DecimaWE Rg" w:hAnsi="DecimaWE Rg"/>
        </w:rPr>
        <w:t>.</w:t>
      </w:r>
    </w:p>
    <w:p w14:paraId="1B933922" w14:textId="6FD20162" w:rsidR="002D1980" w:rsidRPr="0084351E" w:rsidRDefault="0084351E" w:rsidP="00EF1CF6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="002D1980" w:rsidRPr="0084351E">
        <w:rPr>
          <w:rFonts w:ascii="DecimaWE Rg" w:hAnsi="DecimaWE Rg"/>
        </w:rPr>
        <w:t xml:space="preserve"> provvedimenti di concessione sono </w:t>
      </w:r>
      <w:r w:rsidR="008D6262" w:rsidRPr="0084351E">
        <w:rPr>
          <w:rFonts w:ascii="DecimaWE Rg" w:hAnsi="DecimaWE Rg"/>
        </w:rPr>
        <w:t>notificati</w:t>
      </w:r>
      <w:r w:rsidR="002D1980" w:rsidRPr="0084351E">
        <w:rPr>
          <w:rFonts w:ascii="DecimaWE Rg" w:hAnsi="DecimaWE Rg"/>
        </w:rPr>
        <w:t xml:space="preserve"> dall’Amministrazione comunale competente</w:t>
      </w:r>
      <w:r w:rsidR="008E2568">
        <w:rPr>
          <w:rFonts w:ascii="DecimaWE Rg" w:hAnsi="DecimaWE Rg"/>
        </w:rPr>
        <w:t>,</w:t>
      </w:r>
      <w:r w:rsidR="002D1980" w:rsidRPr="0084351E">
        <w:rPr>
          <w:rFonts w:ascii="DecimaWE Rg" w:hAnsi="DecimaWE Rg"/>
        </w:rPr>
        <w:t xml:space="preserve">  contestua</w:t>
      </w:r>
      <w:r w:rsidR="00254F37" w:rsidRPr="0084351E">
        <w:rPr>
          <w:rFonts w:ascii="DecimaWE Rg" w:hAnsi="DecimaWE Rg"/>
        </w:rPr>
        <w:t>lmente alla loro adozione</w:t>
      </w:r>
      <w:r w:rsidR="008E2568">
        <w:rPr>
          <w:rFonts w:ascii="DecimaWE Rg" w:hAnsi="DecimaWE Rg"/>
        </w:rPr>
        <w:t>,</w:t>
      </w:r>
      <w:r w:rsidR="00254F37" w:rsidRPr="0084351E">
        <w:rPr>
          <w:rFonts w:ascii="DecimaWE Rg" w:hAnsi="DecimaWE Rg"/>
        </w:rPr>
        <w:t xml:space="preserve"> </w:t>
      </w:r>
      <w:r w:rsidR="008D6262" w:rsidRPr="0084351E">
        <w:rPr>
          <w:rFonts w:ascii="DecimaWE Rg" w:hAnsi="DecimaWE Rg"/>
        </w:rPr>
        <w:t xml:space="preserve">ai </w:t>
      </w:r>
      <w:r w:rsidR="004C329D" w:rsidRPr="0084351E">
        <w:rPr>
          <w:rFonts w:ascii="DecimaWE Rg" w:hAnsi="DecimaWE Rg"/>
        </w:rPr>
        <w:t xml:space="preserve">privati </w:t>
      </w:r>
      <w:r w:rsidR="008D6262" w:rsidRPr="0084351E">
        <w:rPr>
          <w:rFonts w:ascii="DecimaWE Rg" w:hAnsi="DecimaWE Rg"/>
        </w:rPr>
        <w:t>beneficiari</w:t>
      </w:r>
      <w:r w:rsidR="002D1980" w:rsidRPr="0084351E">
        <w:rPr>
          <w:rFonts w:ascii="DecimaWE Rg" w:hAnsi="DecimaWE Rg"/>
        </w:rPr>
        <w:t xml:space="preserve"> del contributo nonché al Soggetto Responsabile </w:t>
      </w:r>
      <w:r w:rsidR="00EF1CF6" w:rsidRPr="0084351E">
        <w:rPr>
          <w:rFonts w:ascii="DecimaWE Rg" w:hAnsi="DecimaWE Rg"/>
        </w:rPr>
        <w:t xml:space="preserve">OCDPC n. 826/2022 </w:t>
      </w:r>
      <w:r w:rsidR="002D1980" w:rsidRPr="0084351E">
        <w:rPr>
          <w:rFonts w:ascii="DecimaWE Rg" w:hAnsi="DecimaWE Rg"/>
        </w:rPr>
        <w:t xml:space="preserve">all’indirizzo PEC </w:t>
      </w:r>
      <w:hyperlink r:id="rId8" w:history="1">
        <w:r w:rsidR="00567430" w:rsidRPr="0084351E">
          <w:rPr>
            <w:rStyle w:val="Collegamentoipertestuale"/>
            <w:rFonts w:ascii="DecimaWE Rg" w:hAnsi="DecimaWE Rg"/>
            <w:bCs/>
            <w:color w:val="auto"/>
          </w:rPr>
          <w:t>emergenza.novembre2019@certregione.fvg.it</w:t>
        </w:r>
      </w:hyperlink>
      <w:r w:rsidR="002D1980" w:rsidRPr="0084351E">
        <w:rPr>
          <w:rFonts w:ascii="DecimaWE Rg" w:hAnsi="DecimaWE Rg"/>
          <w:bCs/>
        </w:rPr>
        <w:t>.</w:t>
      </w:r>
    </w:p>
    <w:p w14:paraId="4FD8F22C" w14:textId="77777777" w:rsidR="007142D2" w:rsidRPr="004C329D" w:rsidRDefault="007142D2" w:rsidP="006E6806">
      <w:pPr>
        <w:pStyle w:val="Paragrafoelenco"/>
        <w:jc w:val="both"/>
        <w:rPr>
          <w:rFonts w:ascii="DecimaWE Rg" w:hAnsi="DecimaWE Rg"/>
          <w:color w:val="92D050"/>
        </w:rPr>
      </w:pPr>
    </w:p>
    <w:p w14:paraId="1BCC8777" w14:textId="65987753" w:rsidR="007142D2" w:rsidRPr="0084351E" w:rsidRDefault="008D6262" w:rsidP="006E6806">
      <w:pPr>
        <w:jc w:val="both"/>
        <w:rPr>
          <w:rFonts w:ascii="DecimaWE Rg" w:hAnsi="DecimaWE Rg"/>
          <w:b/>
        </w:rPr>
      </w:pPr>
      <w:r w:rsidRPr="0084351E">
        <w:rPr>
          <w:rFonts w:ascii="DecimaWE Rg" w:hAnsi="DecimaWE Rg"/>
          <w:b/>
        </w:rPr>
        <w:t>Articolo 3</w:t>
      </w:r>
      <w:r w:rsidR="007142D2" w:rsidRPr="0084351E">
        <w:rPr>
          <w:rFonts w:ascii="DecimaWE Rg" w:hAnsi="DecimaWE Rg"/>
          <w:b/>
        </w:rPr>
        <w:t xml:space="preserve"> – Titolarità del contributo.</w:t>
      </w:r>
    </w:p>
    <w:p w14:paraId="71D1850A" w14:textId="35E198FF" w:rsidR="00254F37" w:rsidRPr="002F2BA2" w:rsidRDefault="00C24259" w:rsidP="002F2BA2">
      <w:pPr>
        <w:pStyle w:val="Paragrafoelenco"/>
        <w:numPr>
          <w:ilvl w:val="0"/>
          <w:numId w:val="41"/>
        </w:numPr>
        <w:ind w:left="709"/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Ai sensi dell</w:t>
      </w:r>
      <w:r w:rsidR="006A6C6C" w:rsidRPr="002F2BA2">
        <w:rPr>
          <w:rFonts w:ascii="DecimaWE Rg" w:hAnsi="DecimaWE Rg"/>
        </w:rPr>
        <w:t xml:space="preserve">’art. 13.1 </w:t>
      </w:r>
      <w:r w:rsidRPr="002F2BA2">
        <w:rPr>
          <w:rFonts w:ascii="DecimaWE Rg" w:hAnsi="DecimaWE Rg"/>
        </w:rPr>
        <w:t xml:space="preserve">dell’Allegato B all’OCDPC n.932/2022 </w:t>
      </w:r>
      <w:r w:rsidR="006A6C6C" w:rsidRPr="002F2BA2">
        <w:rPr>
          <w:rFonts w:ascii="DecimaWE Rg" w:hAnsi="DecimaWE Rg"/>
        </w:rPr>
        <w:t>il contributo decade qualora il proprietario dell’immobile trasferisca la proprietà dello stesso dopo aver presentato domanda di contributo salvo quanto previsto ai punti 13.2. a), b), c) della stessa Ordinanza</w:t>
      </w:r>
      <w:r w:rsidR="0084351E" w:rsidRPr="002F2BA2">
        <w:rPr>
          <w:rFonts w:ascii="DecimaWE Rg" w:hAnsi="DecimaWE Rg"/>
        </w:rPr>
        <w:t xml:space="preserve"> ovvero</w:t>
      </w:r>
      <w:r w:rsidR="00002F1B" w:rsidRPr="002F2BA2">
        <w:rPr>
          <w:rFonts w:ascii="DecimaWE Rg" w:hAnsi="DecimaWE Rg"/>
        </w:rPr>
        <w:t xml:space="preserve"> salvo che</w:t>
      </w:r>
      <w:r w:rsidR="00254F37" w:rsidRPr="002F2BA2">
        <w:rPr>
          <w:rFonts w:ascii="DecimaWE Rg" w:hAnsi="DecimaWE Rg"/>
        </w:rPr>
        <w:t>:</w:t>
      </w:r>
    </w:p>
    <w:p w14:paraId="0915959E" w14:textId="54FC9B23" w:rsidR="00254F37" w:rsidRPr="002F2BA2" w:rsidRDefault="00254F37" w:rsidP="002F2BA2">
      <w:pPr>
        <w:pStyle w:val="Paragrafoelenco"/>
        <w:numPr>
          <w:ilvl w:val="1"/>
          <w:numId w:val="43"/>
        </w:numPr>
        <w:ind w:left="1134"/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la proprietà</w:t>
      </w:r>
      <w:r w:rsidR="0084351E" w:rsidRPr="002F2BA2">
        <w:rPr>
          <w:rFonts w:ascii="DecimaWE Rg" w:hAnsi="DecimaWE Rg"/>
        </w:rPr>
        <w:t xml:space="preserve"> sia trasferita</w:t>
      </w:r>
      <w:r w:rsidRPr="002F2BA2">
        <w:rPr>
          <w:rFonts w:ascii="DecimaWE Rg" w:hAnsi="DecimaWE Rg"/>
        </w:rPr>
        <w:t xml:space="preserve"> al terzo</w:t>
      </w:r>
      <w:r w:rsidR="0084351E" w:rsidRPr="002F2BA2">
        <w:rPr>
          <w:rFonts w:ascii="DecimaWE Rg" w:hAnsi="DecimaWE Rg"/>
        </w:rPr>
        <w:t>,</w:t>
      </w:r>
      <w:r w:rsidRPr="002F2BA2">
        <w:rPr>
          <w:rFonts w:ascii="DecimaWE Rg" w:hAnsi="DecimaWE Rg"/>
        </w:rPr>
        <w:t xml:space="preserve"> ti</w:t>
      </w:r>
      <w:r w:rsidR="00B34258" w:rsidRPr="002F2BA2">
        <w:rPr>
          <w:rFonts w:ascii="DecimaWE Rg" w:hAnsi="DecimaWE Rg"/>
        </w:rPr>
        <w:t>t</w:t>
      </w:r>
      <w:r w:rsidRPr="002F2BA2">
        <w:rPr>
          <w:rFonts w:ascii="DecimaWE Rg" w:hAnsi="DecimaWE Rg"/>
        </w:rPr>
        <w:t>olare di un diritto reale o personale di godimento</w:t>
      </w:r>
      <w:r w:rsidR="0084351E" w:rsidRPr="002F2BA2">
        <w:rPr>
          <w:rFonts w:ascii="DecimaWE Rg" w:hAnsi="DecimaWE Rg"/>
        </w:rPr>
        <w:t xml:space="preserve"> (in forza di atto avente data certa antecedente all’evento)</w:t>
      </w:r>
      <w:r w:rsidRPr="002F2BA2">
        <w:rPr>
          <w:rFonts w:ascii="DecimaWE Rg" w:hAnsi="DecimaWE Rg"/>
        </w:rPr>
        <w:t xml:space="preserve"> che</w:t>
      </w:r>
      <w:r w:rsidR="0084351E" w:rsidRPr="002F2BA2">
        <w:rPr>
          <w:rFonts w:ascii="DecimaWE Rg" w:hAnsi="DecimaWE Rg"/>
        </w:rPr>
        <w:t>,</w:t>
      </w:r>
      <w:r w:rsidRPr="002F2BA2">
        <w:rPr>
          <w:rFonts w:ascii="DecimaWE Rg" w:hAnsi="DecimaWE Rg"/>
        </w:rPr>
        <w:t xml:space="preserve"> alla data dell’evento</w:t>
      </w:r>
      <w:r w:rsidR="0084351E" w:rsidRPr="002F2BA2">
        <w:rPr>
          <w:rFonts w:ascii="DecimaWE Rg" w:hAnsi="DecimaWE Rg"/>
        </w:rPr>
        <w:t>,</w:t>
      </w:r>
      <w:r w:rsidRPr="002F2BA2">
        <w:rPr>
          <w:rFonts w:ascii="DecimaWE Rg" w:hAnsi="DecimaWE Rg"/>
        </w:rPr>
        <w:t xml:space="preserve"> aveva fissato la residenza anagrafica</w:t>
      </w:r>
      <w:r w:rsidR="0084351E" w:rsidRPr="002F2BA2">
        <w:rPr>
          <w:rFonts w:ascii="DecimaWE Rg" w:hAnsi="DecimaWE Rg"/>
        </w:rPr>
        <w:t xml:space="preserve"> nell’unità immobiliare</w:t>
      </w:r>
      <w:r w:rsidRPr="002F2BA2">
        <w:rPr>
          <w:rFonts w:ascii="DecimaWE Rg" w:hAnsi="DecimaWE Rg"/>
        </w:rPr>
        <w:t>;</w:t>
      </w:r>
    </w:p>
    <w:p w14:paraId="51618F39" w14:textId="59AC26EE" w:rsidR="00002F1B" w:rsidRPr="002F2BA2" w:rsidRDefault="0084351E" w:rsidP="002F2BA2">
      <w:pPr>
        <w:pStyle w:val="Paragrafoelenco"/>
        <w:numPr>
          <w:ilvl w:val="1"/>
          <w:numId w:val="43"/>
        </w:numPr>
        <w:ind w:left="1134"/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lastRenderedPageBreak/>
        <w:t xml:space="preserve">il trasferimento riguardi solo </w:t>
      </w:r>
      <w:r w:rsidR="00254F37" w:rsidRPr="002F2BA2">
        <w:rPr>
          <w:rFonts w:ascii="DecimaWE Rg" w:hAnsi="DecimaWE Rg"/>
        </w:rPr>
        <w:t xml:space="preserve">la nuda proprietà dell’abitazione principale </w:t>
      </w:r>
      <w:r w:rsidRPr="002F2BA2">
        <w:rPr>
          <w:rFonts w:ascii="DecimaWE Rg" w:hAnsi="DecimaWE Rg"/>
        </w:rPr>
        <w:t>con riserva di usufrutto per il beneficiario;</w:t>
      </w:r>
    </w:p>
    <w:p w14:paraId="5FBBE8AA" w14:textId="3C5E5FF0" w:rsidR="008745F4" w:rsidRPr="002F2BA2" w:rsidRDefault="00002F1B" w:rsidP="002F2BA2">
      <w:pPr>
        <w:pStyle w:val="Paragrafoelenco"/>
        <w:numPr>
          <w:ilvl w:val="1"/>
          <w:numId w:val="43"/>
        </w:numPr>
        <w:ind w:left="1134"/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 xml:space="preserve">il trasferimento sia a favore </w:t>
      </w:r>
      <w:r w:rsidR="008E2568" w:rsidRPr="002F2BA2">
        <w:rPr>
          <w:rFonts w:ascii="DecimaWE Rg" w:hAnsi="DecimaWE Rg"/>
        </w:rPr>
        <w:t xml:space="preserve">della </w:t>
      </w:r>
      <w:r w:rsidR="00254F37" w:rsidRPr="002F2BA2">
        <w:rPr>
          <w:rFonts w:ascii="DecimaWE Rg" w:hAnsi="DecimaWE Rg"/>
        </w:rPr>
        <w:t>persona che aveva la residenza</w:t>
      </w:r>
      <w:r w:rsidR="0084351E" w:rsidRPr="002F2BA2">
        <w:rPr>
          <w:rFonts w:ascii="DecimaWE Rg" w:hAnsi="DecimaWE Rg"/>
        </w:rPr>
        <w:t xml:space="preserve"> </w:t>
      </w:r>
      <w:r w:rsidR="00254F37" w:rsidRPr="002F2BA2">
        <w:rPr>
          <w:rFonts w:ascii="DecimaWE Rg" w:hAnsi="DecimaWE Rg"/>
        </w:rPr>
        <w:t xml:space="preserve">anagrafica alla data dell’evento nell’unità abitativa </w:t>
      </w:r>
      <w:r w:rsidR="008E2568" w:rsidRPr="002F2BA2">
        <w:rPr>
          <w:rFonts w:ascii="DecimaWE Rg" w:hAnsi="DecimaWE Rg"/>
        </w:rPr>
        <w:t xml:space="preserve">costituente </w:t>
      </w:r>
      <w:r w:rsidR="00254F37" w:rsidRPr="002F2BA2">
        <w:rPr>
          <w:rFonts w:ascii="DecimaWE Rg" w:hAnsi="DecimaWE Rg"/>
        </w:rPr>
        <w:t>abitazione principale anche del proprietario</w:t>
      </w:r>
      <w:r w:rsidR="006A6C6C" w:rsidRPr="002F2BA2">
        <w:rPr>
          <w:rFonts w:ascii="DecimaWE Rg" w:hAnsi="DecimaWE Rg"/>
        </w:rPr>
        <w:t>.</w:t>
      </w:r>
    </w:p>
    <w:p w14:paraId="159A7A3F" w14:textId="0B934E1C" w:rsidR="004C329D" w:rsidRPr="002F2BA2" w:rsidRDefault="00254F37" w:rsidP="002F2BA2">
      <w:pPr>
        <w:pStyle w:val="Paragrafoelenco"/>
        <w:numPr>
          <w:ilvl w:val="0"/>
          <w:numId w:val="41"/>
        </w:numPr>
        <w:ind w:left="709"/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Ai sensi dell’art.14.1</w:t>
      </w:r>
      <w:r w:rsidR="008E2568" w:rsidRPr="002F2BA2">
        <w:rPr>
          <w:rFonts w:ascii="DecimaWE Rg" w:hAnsi="DecimaWE Rg"/>
        </w:rPr>
        <w:t>,</w:t>
      </w:r>
      <w:r w:rsidRPr="002F2BA2">
        <w:rPr>
          <w:rFonts w:ascii="DecimaWE Rg" w:hAnsi="DecimaWE Rg"/>
        </w:rPr>
        <w:t xml:space="preserve"> in caso di decesso del proprietario avvenuto successivamente alla presentazione della domanda di contributo e prima dell’ultimazione degli interventi</w:t>
      </w:r>
      <w:r w:rsidR="008E2568" w:rsidRPr="002F2BA2">
        <w:rPr>
          <w:rFonts w:ascii="DecimaWE Rg" w:hAnsi="DecimaWE Rg"/>
        </w:rPr>
        <w:t>,</w:t>
      </w:r>
      <w:r w:rsidRPr="002F2BA2">
        <w:rPr>
          <w:rFonts w:ascii="DecimaWE Rg" w:hAnsi="DecimaWE Rg"/>
        </w:rPr>
        <w:t xml:space="preserve"> il contributo è riconosciuto agli eredi </w:t>
      </w:r>
      <w:r w:rsidR="00B34258" w:rsidRPr="002F2BA2">
        <w:rPr>
          <w:rFonts w:ascii="DecimaWE Rg" w:hAnsi="DecimaWE Rg"/>
        </w:rPr>
        <w:t xml:space="preserve">entro i limiti percentuali </w:t>
      </w:r>
      <w:r w:rsidR="00002F1B" w:rsidRPr="002F2BA2">
        <w:rPr>
          <w:rFonts w:ascii="DecimaWE Rg" w:hAnsi="DecimaWE Rg"/>
        </w:rPr>
        <w:t xml:space="preserve">e massimali </w:t>
      </w:r>
      <w:r w:rsidR="00B34258" w:rsidRPr="002F2BA2">
        <w:rPr>
          <w:rFonts w:ascii="DecimaWE Rg" w:hAnsi="DecimaWE Rg"/>
        </w:rPr>
        <w:t>che sarebbero s</w:t>
      </w:r>
      <w:r w:rsidR="00002F1B" w:rsidRPr="002F2BA2">
        <w:rPr>
          <w:rFonts w:ascii="DecimaWE Rg" w:hAnsi="DecimaWE Rg"/>
        </w:rPr>
        <w:t>pettati al propr</w:t>
      </w:r>
      <w:r w:rsidR="00B34258" w:rsidRPr="002F2BA2">
        <w:rPr>
          <w:rFonts w:ascii="DecimaWE Rg" w:hAnsi="DecimaWE Rg"/>
        </w:rPr>
        <w:t>ietario.</w:t>
      </w:r>
    </w:p>
    <w:p w14:paraId="6CC6695C" w14:textId="77777777" w:rsidR="008B055F" w:rsidRPr="00292396" w:rsidRDefault="008B055F" w:rsidP="006C2EB9">
      <w:pPr>
        <w:jc w:val="both"/>
        <w:rPr>
          <w:rFonts w:ascii="DecimaWE Rg" w:hAnsi="DecimaWE Rg"/>
        </w:rPr>
      </w:pPr>
    </w:p>
    <w:p w14:paraId="7685B340" w14:textId="43971201" w:rsidR="006C2EB9" w:rsidRPr="002F2BA2" w:rsidRDefault="006C2EB9" w:rsidP="006C2EB9">
      <w:pPr>
        <w:jc w:val="both"/>
        <w:rPr>
          <w:rFonts w:ascii="DecimaWE Rg" w:hAnsi="DecimaWE Rg"/>
          <w:b/>
        </w:rPr>
      </w:pPr>
      <w:r w:rsidRPr="002F2BA2">
        <w:rPr>
          <w:rFonts w:ascii="DecimaWE Rg" w:hAnsi="DecimaWE Rg"/>
          <w:b/>
        </w:rPr>
        <w:t xml:space="preserve">Articolo </w:t>
      </w:r>
      <w:r w:rsidR="008D6262" w:rsidRPr="002F2BA2">
        <w:rPr>
          <w:rFonts w:ascii="DecimaWE Rg" w:hAnsi="DecimaWE Rg"/>
          <w:b/>
        </w:rPr>
        <w:t>4</w:t>
      </w:r>
      <w:r w:rsidR="000B6AD0" w:rsidRPr="002F2BA2">
        <w:rPr>
          <w:rFonts w:ascii="DecimaWE Rg" w:hAnsi="DecimaWE Rg"/>
          <w:b/>
        </w:rPr>
        <w:t xml:space="preserve"> </w:t>
      </w:r>
      <w:r w:rsidRPr="002F2BA2">
        <w:rPr>
          <w:rFonts w:ascii="DecimaWE Rg" w:hAnsi="DecimaWE Rg"/>
          <w:b/>
        </w:rPr>
        <w:t xml:space="preserve">– </w:t>
      </w:r>
      <w:r w:rsidR="002D1980" w:rsidRPr="002F2BA2">
        <w:rPr>
          <w:rFonts w:ascii="DecimaWE Rg" w:hAnsi="DecimaWE Rg"/>
          <w:b/>
        </w:rPr>
        <w:t xml:space="preserve">Termini </w:t>
      </w:r>
      <w:r w:rsidR="003065ED" w:rsidRPr="002F2BA2">
        <w:rPr>
          <w:rFonts w:ascii="DecimaWE Rg" w:hAnsi="DecimaWE Rg"/>
          <w:b/>
        </w:rPr>
        <w:t>per l’</w:t>
      </w:r>
      <w:r w:rsidR="003D672A" w:rsidRPr="002F2BA2">
        <w:rPr>
          <w:rFonts w:ascii="DecimaWE Rg" w:hAnsi="DecimaWE Rg"/>
          <w:b/>
        </w:rPr>
        <w:t>esecuzione degli interventi e rendicontazione della spesa</w:t>
      </w:r>
    </w:p>
    <w:p w14:paraId="79FA0978" w14:textId="52AC1DBF" w:rsidR="006A6C6C" w:rsidRPr="002F2BA2" w:rsidRDefault="006A6C6C" w:rsidP="006A6C6C">
      <w:pPr>
        <w:pStyle w:val="Paragrafoelenco"/>
        <w:numPr>
          <w:ilvl w:val="0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 xml:space="preserve">I </w:t>
      </w:r>
      <w:r w:rsidR="004C329D" w:rsidRPr="002F2BA2">
        <w:rPr>
          <w:rFonts w:ascii="DecimaWE Rg" w:hAnsi="DecimaWE Rg"/>
        </w:rPr>
        <w:t xml:space="preserve">privati </w:t>
      </w:r>
      <w:r w:rsidRPr="002F2BA2">
        <w:rPr>
          <w:rFonts w:ascii="DecimaWE Rg" w:hAnsi="DecimaWE Rg"/>
        </w:rPr>
        <w:t xml:space="preserve">beneficiari dei contributi </w:t>
      </w:r>
      <w:r w:rsidR="00B34258" w:rsidRPr="002F2BA2">
        <w:rPr>
          <w:rFonts w:ascii="DecimaWE Rg" w:hAnsi="DecimaWE Rg"/>
        </w:rPr>
        <w:t>provvedono</w:t>
      </w:r>
      <w:r w:rsidRPr="002F2BA2">
        <w:rPr>
          <w:rFonts w:ascii="DecimaWE Rg" w:hAnsi="DecimaWE Rg"/>
        </w:rPr>
        <w:t xml:space="preserve"> alla conclusione degli interventi ed alla rendicontazione della relativa spesa entro il </w:t>
      </w:r>
      <w:r w:rsidR="004C329D" w:rsidRPr="002F2BA2">
        <w:rPr>
          <w:rFonts w:ascii="DecimaWE Rg" w:hAnsi="DecimaWE Rg"/>
        </w:rPr>
        <w:t>termine del</w:t>
      </w:r>
      <w:r w:rsidR="00B34258" w:rsidRPr="002F2BA2">
        <w:rPr>
          <w:rFonts w:ascii="DecimaWE Rg" w:hAnsi="DecimaWE Rg"/>
        </w:rPr>
        <w:t xml:space="preserve"> </w:t>
      </w:r>
      <w:r w:rsidR="002E5825" w:rsidRPr="002F2BA2">
        <w:rPr>
          <w:rFonts w:ascii="DecimaWE Rg" w:hAnsi="DecimaWE Rg"/>
        </w:rPr>
        <w:t>30</w:t>
      </w:r>
      <w:r w:rsidR="00B34258" w:rsidRPr="002F2BA2">
        <w:rPr>
          <w:rFonts w:ascii="DecimaWE Rg" w:hAnsi="DecimaWE Rg"/>
        </w:rPr>
        <w:t>/</w:t>
      </w:r>
      <w:r w:rsidR="002E5825" w:rsidRPr="002F2BA2">
        <w:rPr>
          <w:rFonts w:ascii="DecimaWE Rg" w:hAnsi="DecimaWE Rg"/>
        </w:rPr>
        <w:t>11</w:t>
      </w:r>
      <w:r w:rsidR="00B34258" w:rsidRPr="002F2BA2">
        <w:rPr>
          <w:rFonts w:ascii="DecimaWE Rg" w:hAnsi="DecimaWE Rg"/>
        </w:rPr>
        <w:t>/</w:t>
      </w:r>
      <w:r w:rsidR="002E5825" w:rsidRPr="002F2BA2">
        <w:rPr>
          <w:rFonts w:ascii="DecimaWE Rg" w:hAnsi="DecimaWE Rg"/>
        </w:rPr>
        <w:t>2024</w:t>
      </w:r>
      <w:r w:rsidR="00692C60" w:rsidRPr="002F2BA2">
        <w:rPr>
          <w:rFonts w:ascii="DecimaWE Rg" w:hAnsi="DecimaWE Rg"/>
        </w:rPr>
        <w:t>.</w:t>
      </w:r>
    </w:p>
    <w:p w14:paraId="0AF8139A" w14:textId="3711AD72" w:rsidR="009A1B0B" w:rsidRPr="002F2BA2" w:rsidRDefault="006A6C6C" w:rsidP="006A6C6C">
      <w:pPr>
        <w:pStyle w:val="Paragrafoelenco"/>
        <w:numPr>
          <w:ilvl w:val="0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I termini di cui al precedente comma 1 sono eventualmente prorogabili da parte del Soggetto</w:t>
      </w:r>
      <w:r w:rsidR="00BB53E8" w:rsidRPr="002F2BA2">
        <w:rPr>
          <w:rFonts w:ascii="DecimaWE Rg" w:hAnsi="DecimaWE Rg"/>
        </w:rPr>
        <w:t xml:space="preserve"> Responsabile OCDPC n. 826/2022,</w:t>
      </w:r>
      <w:r w:rsidR="007D217F" w:rsidRPr="002F2BA2">
        <w:rPr>
          <w:rFonts w:ascii="DecimaWE Rg" w:hAnsi="DecimaWE Rg"/>
        </w:rPr>
        <w:t xml:space="preserve"> </w:t>
      </w:r>
      <w:r w:rsidRPr="002F2BA2">
        <w:rPr>
          <w:rFonts w:ascii="DecimaWE Rg" w:hAnsi="DecimaWE Rg"/>
        </w:rPr>
        <w:t xml:space="preserve">previa formale richiesta motivata </w:t>
      </w:r>
      <w:r w:rsidR="00F96204" w:rsidRPr="002F2BA2">
        <w:rPr>
          <w:rFonts w:ascii="DecimaWE Rg" w:hAnsi="DecimaWE Rg"/>
        </w:rPr>
        <w:t xml:space="preserve">del Soggetto Attuatore </w:t>
      </w:r>
      <w:r w:rsidRPr="002F2BA2">
        <w:rPr>
          <w:rFonts w:ascii="DecimaWE Rg" w:hAnsi="DecimaWE Rg"/>
        </w:rPr>
        <w:t xml:space="preserve">da inviare entro la </w:t>
      </w:r>
      <w:r w:rsidR="00F96204" w:rsidRPr="002F2BA2">
        <w:rPr>
          <w:rFonts w:ascii="DecimaWE Rg" w:hAnsi="DecimaWE Rg"/>
        </w:rPr>
        <w:t xml:space="preserve">suddetta </w:t>
      </w:r>
      <w:r w:rsidRPr="002F2BA2">
        <w:rPr>
          <w:rFonts w:ascii="DecimaWE Rg" w:hAnsi="DecimaWE Rg"/>
        </w:rPr>
        <w:t xml:space="preserve">scadenza all’indirizzo PEC </w:t>
      </w:r>
      <w:hyperlink r:id="rId9" w:history="1">
        <w:r w:rsidR="009A1B0B" w:rsidRPr="002F2BA2">
          <w:rPr>
            <w:rStyle w:val="Collegamentoipertestuale"/>
            <w:rFonts w:ascii="DecimaWE Rg" w:hAnsi="DecimaWE Rg"/>
            <w:color w:val="auto"/>
          </w:rPr>
          <w:t>emergenza.novembre@certregione.fvg.it</w:t>
        </w:r>
      </w:hyperlink>
      <w:r w:rsidR="00692C60" w:rsidRPr="002F2BA2">
        <w:rPr>
          <w:rStyle w:val="Collegamentoipertestuale"/>
          <w:rFonts w:ascii="DecimaWE Rg" w:hAnsi="DecimaWE Rg"/>
          <w:color w:val="auto"/>
        </w:rPr>
        <w:t>.</w:t>
      </w:r>
    </w:p>
    <w:p w14:paraId="2336DC89" w14:textId="6379A441" w:rsidR="009A1B0B" w:rsidRPr="002F2BA2" w:rsidRDefault="009A1B0B" w:rsidP="00B254E2">
      <w:pPr>
        <w:pStyle w:val="Paragrafoelenco"/>
        <w:numPr>
          <w:ilvl w:val="0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 xml:space="preserve">I </w:t>
      </w:r>
      <w:r w:rsidR="004C329D" w:rsidRPr="002F2BA2">
        <w:rPr>
          <w:rFonts w:ascii="DecimaWE Rg" w:hAnsi="DecimaWE Rg"/>
        </w:rPr>
        <w:t xml:space="preserve">privati </w:t>
      </w:r>
      <w:r w:rsidRPr="002F2BA2">
        <w:rPr>
          <w:rFonts w:ascii="DecimaWE Rg" w:hAnsi="DecimaWE Rg"/>
        </w:rPr>
        <w:t xml:space="preserve">beneficiari dei contributi trasmettono la rendicontazione della spesa al Comune competente utilizzando </w:t>
      </w:r>
      <w:r w:rsidR="00D2024C" w:rsidRPr="002F2BA2">
        <w:rPr>
          <w:rFonts w:ascii="DecimaWE Rg" w:hAnsi="DecimaWE Rg"/>
        </w:rPr>
        <w:t xml:space="preserve">il </w:t>
      </w:r>
      <w:r w:rsidR="00D2024C" w:rsidRPr="002F2BA2">
        <w:rPr>
          <w:rFonts w:ascii="DecimaWE Rg" w:hAnsi="DecimaWE Rg"/>
          <w:i/>
        </w:rPr>
        <w:t>“Modulo B</w:t>
      </w:r>
      <w:r w:rsidR="00B254E2" w:rsidRPr="002F2BA2">
        <w:rPr>
          <w:rFonts w:ascii="DecimaWE Rg" w:hAnsi="DecimaWE Rg"/>
          <w:i/>
        </w:rPr>
        <w:t>.</w:t>
      </w:r>
      <w:r w:rsidR="00D2024C" w:rsidRPr="002F2BA2">
        <w:rPr>
          <w:rFonts w:ascii="DecimaWE Rg" w:hAnsi="DecimaWE Rg"/>
          <w:i/>
        </w:rPr>
        <w:t xml:space="preserve">3.5 </w:t>
      </w:r>
      <w:r w:rsidR="00B254E2" w:rsidRPr="002F2BA2">
        <w:rPr>
          <w:rFonts w:ascii="DecimaWE Rg" w:hAnsi="DecimaWE Rg"/>
          <w:i/>
        </w:rPr>
        <w:t>rendicontazione delle spese sostenute per i beni immobili alla data di presentazione della domanda di contributo</w:t>
      </w:r>
      <w:r w:rsidR="00D2024C" w:rsidRPr="002F2BA2">
        <w:rPr>
          <w:rFonts w:ascii="DecimaWE Rg" w:hAnsi="DecimaWE Rg"/>
          <w:i/>
        </w:rPr>
        <w:t>”</w:t>
      </w:r>
      <w:r w:rsidRPr="002F2BA2">
        <w:rPr>
          <w:rFonts w:ascii="DecimaWE Rg" w:hAnsi="DecimaWE Rg"/>
          <w:i/>
        </w:rPr>
        <w:t xml:space="preserve"> </w:t>
      </w:r>
      <w:r w:rsidR="004C329D" w:rsidRPr="002F2BA2">
        <w:rPr>
          <w:rFonts w:ascii="DecimaWE Rg" w:hAnsi="DecimaWE Rg"/>
        </w:rPr>
        <w:t>approvato con DCR/52/</w:t>
      </w:r>
      <w:r w:rsidR="00D2024C" w:rsidRPr="002F2BA2">
        <w:rPr>
          <w:rFonts w:ascii="DecimaWE Rg" w:hAnsi="DecimaWE Rg"/>
        </w:rPr>
        <w:t xml:space="preserve">SR12/2022 e pubblicato sulla pagina web al link </w:t>
      </w:r>
      <w:r w:rsidR="007D217F" w:rsidRPr="002F2BA2">
        <w:rPr>
          <w:rFonts w:ascii="DecimaWE Rg" w:hAnsi="DecimaWE Rg"/>
        </w:rPr>
        <w:t>www.protezionecivile.fvg.it/</w:t>
      </w:r>
      <w:proofErr w:type="spellStart"/>
      <w:r w:rsidR="007D217F" w:rsidRPr="002F2BA2">
        <w:rPr>
          <w:rFonts w:ascii="DecimaWE Rg" w:hAnsi="DecimaWE Rg"/>
        </w:rPr>
        <w:t>it</w:t>
      </w:r>
      <w:proofErr w:type="spellEnd"/>
      <w:r w:rsidR="007D217F" w:rsidRPr="002F2BA2">
        <w:rPr>
          <w:rFonts w:ascii="DecimaWE Rg" w:hAnsi="DecimaWE Rg"/>
        </w:rPr>
        <w:t>/contributi-danni-privati</w:t>
      </w:r>
      <w:r w:rsidR="00692C60" w:rsidRPr="002F2BA2">
        <w:rPr>
          <w:rFonts w:ascii="DecimaWE Rg" w:hAnsi="DecimaWE Rg"/>
        </w:rPr>
        <w:t>.</w:t>
      </w:r>
    </w:p>
    <w:p w14:paraId="4731C877" w14:textId="4C9F503E" w:rsidR="009A1B0B" w:rsidRPr="002F2BA2" w:rsidRDefault="009A1B0B" w:rsidP="006A6C6C">
      <w:pPr>
        <w:pStyle w:val="Paragrafoelenco"/>
        <w:numPr>
          <w:ilvl w:val="0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Al Modulo</w:t>
      </w:r>
      <w:r w:rsidR="00D2024C" w:rsidRPr="002F2BA2">
        <w:rPr>
          <w:rFonts w:ascii="DecimaWE Rg" w:hAnsi="DecimaWE Rg"/>
        </w:rPr>
        <w:t xml:space="preserve"> B</w:t>
      </w:r>
      <w:r w:rsidR="00B254E2" w:rsidRPr="002F2BA2">
        <w:rPr>
          <w:rFonts w:ascii="DecimaWE Rg" w:hAnsi="DecimaWE Rg"/>
        </w:rPr>
        <w:t>.</w:t>
      </w:r>
      <w:r w:rsidR="00D2024C" w:rsidRPr="002F2BA2">
        <w:rPr>
          <w:rFonts w:ascii="DecimaWE Rg" w:hAnsi="DecimaWE Rg"/>
        </w:rPr>
        <w:t xml:space="preserve">3.5 </w:t>
      </w:r>
      <w:r w:rsidRPr="002F2BA2">
        <w:rPr>
          <w:rFonts w:ascii="DecimaWE Rg" w:hAnsi="DecimaWE Rg"/>
        </w:rPr>
        <w:t>vanno allegati:</w:t>
      </w:r>
    </w:p>
    <w:p w14:paraId="414494E1" w14:textId="45435C57" w:rsidR="009A1B0B" w:rsidRPr="002F2BA2" w:rsidRDefault="009A1B0B" w:rsidP="009A1B0B">
      <w:pPr>
        <w:pStyle w:val="Paragrafoelenco"/>
        <w:numPr>
          <w:ilvl w:val="1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documentazione comprovante la spesa sostenuta avente data successiva al 12/11/2019, nonché copia dei relativi pagamenti;</w:t>
      </w:r>
    </w:p>
    <w:p w14:paraId="3CE02BFD" w14:textId="4335886D" w:rsidR="005E086D" w:rsidRPr="002F2BA2" w:rsidRDefault="002012A0" w:rsidP="009A1B0B">
      <w:pPr>
        <w:pStyle w:val="Paragrafoelenco"/>
        <w:numPr>
          <w:ilvl w:val="1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 xml:space="preserve">documentazione comprovante </w:t>
      </w:r>
      <w:r w:rsidR="005E086D" w:rsidRPr="002F2BA2">
        <w:rPr>
          <w:rFonts w:ascii="DecimaWE Rg" w:hAnsi="DecimaWE Rg"/>
        </w:rPr>
        <w:t xml:space="preserve">eventuali indennizzi assicurativi percepiti o da percepire; </w:t>
      </w:r>
    </w:p>
    <w:p w14:paraId="3F3B6EC0" w14:textId="77BF8693" w:rsidR="005F5B92" w:rsidRPr="002F2BA2" w:rsidRDefault="00D2024C" w:rsidP="006E6806">
      <w:pPr>
        <w:pStyle w:val="Paragrafoelenco"/>
        <w:numPr>
          <w:ilvl w:val="1"/>
          <w:numId w:val="40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documentazione comprovante eventuali premi assicurativi versati nei 5 anni precedenti all’evento calamitoso.</w:t>
      </w:r>
    </w:p>
    <w:p w14:paraId="51CF0B4E" w14:textId="7AF97DF1" w:rsidR="008B055F" w:rsidRPr="002F2BA2" w:rsidRDefault="008B055F" w:rsidP="008B055F">
      <w:pPr>
        <w:pStyle w:val="Paragrafoelenco"/>
        <w:ind w:left="1440"/>
        <w:jc w:val="both"/>
        <w:rPr>
          <w:rFonts w:ascii="DecimaWE Rg" w:hAnsi="DecimaWE Rg"/>
        </w:rPr>
      </w:pPr>
    </w:p>
    <w:p w14:paraId="74AE44D2" w14:textId="414C2DA1" w:rsidR="00C220C4" w:rsidRPr="002F2BA2" w:rsidRDefault="00C220C4" w:rsidP="00C220C4">
      <w:pPr>
        <w:jc w:val="both"/>
        <w:rPr>
          <w:rFonts w:ascii="DecimaWE Rg" w:hAnsi="DecimaWE Rg"/>
          <w:b/>
        </w:rPr>
      </w:pPr>
      <w:r w:rsidRPr="002F2BA2">
        <w:rPr>
          <w:rFonts w:ascii="DecimaWE Rg" w:hAnsi="DecimaWE Rg"/>
          <w:b/>
        </w:rPr>
        <w:t>Articolo 5 – Controlli</w:t>
      </w:r>
    </w:p>
    <w:p w14:paraId="5C933422" w14:textId="7CB617E5" w:rsidR="00C220C4" w:rsidRPr="002F2BA2" w:rsidRDefault="00C220C4" w:rsidP="00C220C4">
      <w:pPr>
        <w:numPr>
          <w:ilvl w:val="0"/>
          <w:numId w:val="4"/>
        </w:numPr>
        <w:jc w:val="both"/>
        <w:rPr>
          <w:rFonts w:ascii="DecimaWE Rg" w:hAnsi="DecimaWE Rg"/>
        </w:rPr>
      </w:pPr>
      <w:r w:rsidRPr="002F2BA2">
        <w:rPr>
          <w:rFonts w:ascii="DecimaWE Rg" w:hAnsi="DecimaWE Rg"/>
        </w:rPr>
        <w:t>Le Amministrazioni comunali individuate Soggetti Attuatori ai sensi del DCR/52/SR12/2022 procedono al controllo a campione, nella misura non inferiore al 20% ed almeno su una pratica, sulla documentazione di rendicontazione presentata dai beneficiari ai sensi dell’articolo 4 delle presenti modalità operative, incluse le dichiarazioni sostitutive. Il controllo può essere esercitato tramite verifica documentale e/o sopralluoghi in loco ovvero tramite le modalità che il Soggetto Attuatore ritiene conformi alla casistica di propria competenza.</w:t>
      </w:r>
    </w:p>
    <w:p w14:paraId="57E48424" w14:textId="77777777" w:rsidR="00C220C4" w:rsidRDefault="00C220C4" w:rsidP="008B055F">
      <w:pPr>
        <w:pStyle w:val="Paragrafoelenco"/>
        <w:ind w:left="1440"/>
        <w:jc w:val="both"/>
        <w:rPr>
          <w:rFonts w:ascii="DecimaWE Rg" w:hAnsi="DecimaWE Rg"/>
        </w:rPr>
      </w:pPr>
    </w:p>
    <w:p w14:paraId="2D2FA68D" w14:textId="0EBD127E" w:rsidR="00D07060" w:rsidRPr="008B055F" w:rsidRDefault="00D07060" w:rsidP="00CE7332">
      <w:pPr>
        <w:jc w:val="both"/>
        <w:rPr>
          <w:rFonts w:ascii="DecimaWE Rg" w:hAnsi="DecimaWE Rg"/>
          <w:b/>
        </w:rPr>
      </w:pPr>
      <w:r w:rsidRPr="008B055F">
        <w:rPr>
          <w:rFonts w:ascii="DecimaWE Rg" w:hAnsi="DecimaWE Rg"/>
          <w:b/>
        </w:rPr>
        <w:t>A</w:t>
      </w:r>
      <w:r w:rsidR="00E3718A" w:rsidRPr="008B055F">
        <w:rPr>
          <w:rFonts w:ascii="DecimaWE Rg" w:hAnsi="DecimaWE Rg"/>
          <w:b/>
        </w:rPr>
        <w:t xml:space="preserve">rticolo </w:t>
      </w:r>
      <w:r w:rsidR="00C220C4">
        <w:rPr>
          <w:rFonts w:ascii="DecimaWE Rg" w:hAnsi="DecimaWE Rg"/>
          <w:b/>
        </w:rPr>
        <w:t>6</w:t>
      </w:r>
      <w:r w:rsidR="00C220C4" w:rsidRPr="008B055F">
        <w:rPr>
          <w:rFonts w:ascii="DecimaWE Rg" w:hAnsi="DecimaWE Rg"/>
          <w:b/>
        </w:rPr>
        <w:t xml:space="preserve"> </w:t>
      </w:r>
      <w:r w:rsidRPr="008B055F">
        <w:rPr>
          <w:rFonts w:ascii="DecimaWE Rg" w:hAnsi="DecimaWE Rg"/>
          <w:b/>
        </w:rPr>
        <w:t>–</w:t>
      </w:r>
      <w:r w:rsidR="0002326A" w:rsidRPr="008B055F">
        <w:rPr>
          <w:rFonts w:ascii="DecimaWE Rg" w:hAnsi="DecimaWE Rg"/>
          <w:b/>
        </w:rPr>
        <w:t xml:space="preserve"> </w:t>
      </w:r>
      <w:r w:rsidR="00706523" w:rsidRPr="008B055F">
        <w:rPr>
          <w:rFonts w:ascii="DecimaWE Rg" w:hAnsi="DecimaWE Rg"/>
          <w:b/>
        </w:rPr>
        <w:t>T</w:t>
      </w:r>
      <w:r w:rsidR="00DC7A50" w:rsidRPr="008B055F">
        <w:rPr>
          <w:rFonts w:ascii="DecimaWE Rg" w:hAnsi="DecimaWE Rg"/>
          <w:b/>
        </w:rPr>
        <w:t>rasferimento delle risorse a favore dei Comuni ai fini dell’erogazione dei contributi</w:t>
      </w:r>
    </w:p>
    <w:p w14:paraId="5418BEFD" w14:textId="3B11E294" w:rsidR="00C220C4" w:rsidRDefault="00C220C4" w:rsidP="00C220C4">
      <w:pPr>
        <w:pStyle w:val="Paragrafoelenco"/>
        <w:numPr>
          <w:ilvl w:val="0"/>
          <w:numId w:val="20"/>
        </w:numPr>
        <w:jc w:val="both"/>
        <w:rPr>
          <w:rFonts w:ascii="DecimaWE Rg" w:hAnsi="DecimaWE Rg"/>
        </w:rPr>
      </w:pPr>
      <w:r w:rsidRPr="008B055F">
        <w:rPr>
          <w:rFonts w:ascii="DecimaWE Rg" w:hAnsi="DecimaWE Rg"/>
        </w:rPr>
        <w:t>Il Comune individuato Soggetto Attuatore incaricato dell’adozione dei provvedimenti di concessione provvede, ai fini della successiva liquidazione dei contributi a favore del privato beneficiario, all’istruttoria sulla documentazione di rendicontazione trasmessa ai sensi dell’</w:t>
      </w:r>
      <w:r>
        <w:rPr>
          <w:rFonts w:ascii="DecimaWE Rg" w:hAnsi="DecimaWE Rg"/>
        </w:rPr>
        <w:t>articolo 4</w:t>
      </w:r>
      <w:r w:rsidRPr="008B055F">
        <w:rPr>
          <w:rFonts w:ascii="DecimaWE Rg" w:hAnsi="DecimaWE Rg"/>
        </w:rPr>
        <w:t xml:space="preserve"> delle presenti modalità operative in conformità a quanto previsto dall’allegato B all’OCDPC n. 932/2022.</w:t>
      </w:r>
    </w:p>
    <w:p w14:paraId="24C8A22C" w14:textId="2C7CE9F2" w:rsidR="00C220C4" w:rsidRDefault="00C220C4" w:rsidP="00292396">
      <w:pPr>
        <w:pStyle w:val="Paragrafoelenco"/>
        <w:numPr>
          <w:ilvl w:val="0"/>
          <w:numId w:val="20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Il </w:t>
      </w:r>
      <w:r w:rsidR="00313974">
        <w:rPr>
          <w:rFonts w:ascii="DecimaWE Rg" w:hAnsi="DecimaWE Rg"/>
        </w:rPr>
        <w:t xml:space="preserve">Comune </w:t>
      </w:r>
      <w:r>
        <w:rPr>
          <w:rFonts w:ascii="DecimaWE Rg" w:hAnsi="DecimaWE Rg"/>
        </w:rPr>
        <w:t>trasmette</w:t>
      </w:r>
      <w:r w:rsidR="00292396">
        <w:rPr>
          <w:rFonts w:ascii="DecimaWE Rg" w:hAnsi="DecimaWE Rg"/>
        </w:rPr>
        <w:t>,</w:t>
      </w:r>
      <w:r>
        <w:rPr>
          <w:rFonts w:ascii="DecimaWE Rg" w:hAnsi="DecimaWE Rg"/>
        </w:rPr>
        <w:t xml:space="preserve"> </w:t>
      </w:r>
      <w:r w:rsidR="00292396" w:rsidRPr="00562A4F">
        <w:rPr>
          <w:rFonts w:ascii="DecimaWE Rg" w:hAnsi="DecimaWE Rg"/>
        </w:rPr>
        <w:t xml:space="preserve">entro </w:t>
      </w:r>
      <w:r w:rsidR="00292396">
        <w:rPr>
          <w:rFonts w:ascii="DecimaWE Rg" w:hAnsi="DecimaWE Rg"/>
        </w:rPr>
        <w:t>6</w:t>
      </w:r>
      <w:r w:rsidR="00292396" w:rsidRPr="00313974">
        <w:rPr>
          <w:rFonts w:ascii="DecimaWE Rg" w:hAnsi="DecimaWE Rg"/>
        </w:rPr>
        <w:t>0 giorni dalla ricezione della documentazione di rendicontazione della spesa secondo l’art. 4</w:t>
      </w:r>
      <w:r w:rsidR="00292396">
        <w:rPr>
          <w:rFonts w:ascii="DecimaWE Rg" w:hAnsi="DecimaWE Rg"/>
        </w:rPr>
        <w:t xml:space="preserve">, </w:t>
      </w:r>
      <w:r>
        <w:rPr>
          <w:rFonts w:ascii="DecimaWE Rg" w:hAnsi="DecimaWE Rg"/>
        </w:rPr>
        <w:t xml:space="preserve">gli esiti dell’istruttoria </w:t>
      </w:r>
      <w:r w:rsidR="00292396">
        <w:rPr>
          <w:rFonts w:ascii="DecimaWE Rg" w:hAnsi="DecimaWE Rg"/>
        </w:rPr>
        <w:t xml:space="preserve">di cui al comma 1 </w:t>
      </w:r>
      <w:r>
        <w:rPr>
          <w:rFonts w:ascii="DecimaWE Rg" w:hAnsi="DecimaWE Rg"/>
        </w:rPr>
        <w:t xml:space="preserve">e dei controlli effettuati ai sensi dell’articolo 5 </w:t>
      </w:r>
      <w:r w:rsidRPr="008B055F">
        <w:rPr>
          <w:rFonts w:ascii="DecimaWE Rg" w:hAnsi="DecimaWE Rg"/>
        </w:rPr>
        <w:t>delle presenti modalità operative</w:t>
      </w:r>
      <w:r>
        <w:rPr>
          <w:rFonts w:ascii="DecimaWE Rg" w:hAnsi="DecimaWE Rg"/>
        </w:rPr>
        <w:t xml:space="preserve"> al </w:t>
      </w:r>
      <w:r w:rsidRPr="008B055F">
        <w:rPr>
          <w:rFonts w:ascii="DecimaWE Rg" w:hAnsi="DecimaWE Rg"/>
        </w:rPr>
        <w:t>Soggetto Responsabile OCDPC n. 826/2022</w:t>
      </w:r>
      <w:r>
        <w:rPr>
          <w:rFonts w:ascii="DecimaWE Rg" w:hAnsi="DecimaWE Rg"/>
        </w:rPr>
        <w:t xml:space="preserve">, tramite modello che sarà reso disponibile alla pagina  </w:t>
      </w:r>
      <w:hyperlink r:id="rId10" w:history="1">
        <w:r w:rsidR="00292396" w:rsidRPr="00D12828">
          <w:rPr>
            <w:rStyle w:val="Collegamentoipertestuale"/>
            <w:rFonts w:ascii="DecimaWE Rg" w:hAnsi="DecimaWE Rg"/>
          </w:rPr>
          <w:t>https://www.protezionecivile.fvg.it/it/contributi-danni-privati</w:t>
        </w:r>
      </w:hyperlink>
      <w:r w:rsidR="00292396">
        <w:rPr>
          <w:rFonts w:ascii="DecimaWE Rg" w:hAnsi="DecimaWE Rg"/>
        </w:rPr>
        <w:t xml:space="preserve">, quantificando </w:t>
      </w:r>
      <w:r w:rsidR="00292396">
        <w:rPr>
          <w:rFonts w:ascii="DecimaWE Rg" w:hAnsi="DecimaWE Rg"/>
        </w:rPr>
        <w:lastRenderedPageBreak/>
        <w:t>l’importo effettivo da trasferire per procedere ai pagamenti</w:t>
      </w:r>
      <w:r w:rsidR="00B3725C">
        <w:rPr>
          <w:rFonts w:ascii="DecimaWE Rg" w:hAnsi="DecimaWE Rg"/>
        </w:rPr>
        <w:t xml:space="preserve">, nei limiti del </w:t>
      </w:r>
      <w:r w:rsidR="00292396" w:rsidRPr="00292396">
        <w:rPr>
          <w:rFonts w:ascii="DecimaWE Rg" w:hAnsi="DecimaWE Rg"/>
        </w:rPr>
        <w:t xml:space="preserve">fabbisogno segnalato </w:t>
      </w:r>
      <w:r w:rsidR="00292396">
        <w:rPr>
          <w:rFonts w:ascii="DecimaWE Rg" w:hAnsi="DecimaWE Rg"/>
        </w:rPr>
        <w:t>di cui</w:t>
      </w:r>
      <w:r w:rsidR="00292396" w:rsidRPr="00292396">
        <w:rPr>
          <w:rFonts w:ascii="DecimaWE Rg" w:hAnsi="DecimaWE Rg"/>
        </w:rPr>
        <w:t xml:space="preserve"> al DCR/44/SR12/2023</w:t>
      </w:r>
      <w:r w:rsidR="00292396">
        <w:rPr>
          <w:rFonts w:ascii="DecimaWE Rg" w:hAnsi="DecimaWE Rg"/>
        </w:rPr>
        <w:t>, eventualmente anche per un numero parziale di posizioni contributive, evidenziando tra l’altro eventuali economie o revoche di concessioni.</w:t>
      </w:r>
    </w:p>
    <w:p w14:paraId="2EC1850F" w14:textId="1B089D9D" w:rsidR="006E6806" w:rsidRPr="008B055F" w:rsidRDefault="006E6806" w:rsidP="006E6806">
      <w:pPr>
        <w:pStyle w:val="Paragrafoelenco"/>
        <w:numPr>
          <w:ilvl w:val="0"/>
          <w:numId w:val="20"/>
        </w:numPr>
        <w:jc w:val="both"/>
        <w:rPr>
          <w:rFonts w:ascii="DecimaWE Rg" w:hAnsi="DecimaWE Rg"/>
        </w:rPr>
      </w:pPr>
      <w:r w:rsidRPr="008B055F">
        <w:rPr>
          <w:rFonts w:ascii="DecimaWE Rg" w:hAnsi="DecimaWE Rg"/>
        </w:rPr>
        <w:t>Il Soggetto Responsabile OCDPC n. 826/2022</w:t>
      </w:r>
      <w:r w:rsidR="00B3725C">
        <w:rPr>
          <w:rFonts w:ascii="DecimaWE Rg" w:hAnsi="DecimaWE Rg"/>
        </w:rPr>
        <w:t>, attraverso gli uffici competenti della Protezione civile,</w:t>
      </w:r>
      <w:r w:rsidRPr="008B055F">
        <w:rPr>
          <w:rFonts w:ascii="DecimaWE Rg" w:hAnsi="DecimaWE Rg"/>
        </w:rPr>
        <w:t xml:space="preserve"> provvede</w:t>
      </w:r>
      <w:r w:rsidR="002E5825">
        <w:rPr>
          <w:rFonts w:ascii="DecimaWE Rg" w:hAnsi="DecimaWE Rg"/>
        </w:rPr>
        <w:t xml:space="preserve"> entro 30 giorni</w:t>
      </w:r>
      <w:r w:rsidR="00292396">
        <w:rPr>
          <w:rFonts w:ascii="DecimaWE Rg" w:hAnsi="DecimaWE Rg"/>
        </w:rPr>
        <w:t xml:space="preserve"> dal ricevimento della relazione istruttoria di cui al comma precedente</w:t>
      </w:r>
      <w:r w:rsidRPr="008B055F">
        <w:rPr>
          <w:rFonts w:ascii="DecimaWE Rg" w:hAnsi="DecimaWE Rg"/>
        </w:rPr>
        <w:t>, nei limiti delle risorse trasferite in esecuzione dell’OCDPC n. 1009/2023</w:t>
      </w:r>
      <w:r w:rsidR="00B64762">
        <w:rPr>
          <w:rFonts w:ascii="DecimaWE Rg" w:hAnsi="DecimaWE Rg"/>
        </w:rPr>
        <w:t>,</w:t>
      </w:r>
      <w:r w:rsidRPr="008B055F">
        <w:rPr>
          <w:rFonts w:ascii="DecimaWE Rg" w:hAnsi="DecimaWE Rg"/>
        </w:rPr>
        <w:t xml:space="preserve"> al trasferimento delle risorse </w:t>
      </w:r>
      <w:r w:rsidR="00B3725C">
        <w:rPr>
          <w:rFonts w:ascii="DecimaWE Rg" w:hAnsi="DecimaWE Rg"/>
        </w:rPr>
        <w:t>finanziarie richieste alle Amministrazioni comunali</w:t>
      </w:r>
      <w:r w:rsidR="00692C60">
        <w:rPr>
          <w:rFonts w:ascii="DecimaWE Rg" w:hAnsi="DecimaWE Rg"/>
        </w:rPr>
        <w:t>.</w:t>
      </w:r>
    </w:p>
    <w:p w14:paraId="7E7A22FD" w14:textId="629EABF0" w:rsidR="00C449D3" w:rsidRPr="002F2BA2" w:rsidRDefault="00B3725C" w:rsidP="002F2BA2">
      <w:pPr>
        <w:pStyle w:val="Paragrafoelenco"/>
        <w:numPr>
          <w:ilvl w:val="0"/>
          <w:numId w:val="20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L’Amministrazione comunale, in qualità di </w:t>
      </w:r>
      <w:r w:rsidR="001D64CB" w:rsidRPr="008B055F">
        <w:rPr>
          <w:rFonts w:ascii="DecimaWE Rg" w:hAnsi="DecimaWE Rg"/>
        </w:rPr>
        <w:t xml:space="preserve">Soggetto </w:t>
      </w:r>
      <w:r w:rsidR="00B82D76" w:rsidRPr="008B055F">
        <w:rPr>
          <w:rFonts w:ascii="DecimaWE Rg" w:hAnsi="DecimaWE Rg"/>
        </w:rPr>
        <w:t>Attuatore</w:t>
      </w:r>
      <w:r>
        <w:rPr>
          <w:rFonts w:ascii="DecimaWE Rg" w:hAnsi="DecimaWE Rg"/>
        </w:rPr>
        <w:t>,</w:t>
      </w:r>
      <w:r w:rsidR="00B82D76" w:rsidRPr="008B055F">
        <w:rPr>
          <w:rFonts w:ascii="DecimaWE Rg" w:hAnsi="DecimaWE Rg"/>
        </w:rPr>
        <w:t xml:space="preserve"> </w:t>
      </w:r>
      <w:r w:rsidR="001D64CB" w:rsidRPr="008B055F">
        <w:rPr>
          <w:rFonts w:ascii="DecimaWE Rg" w:hAnsi="DecimaWE Rg"/>
        </w:rPr>
        <w:t xml:space="preserve">provvede, sulla base </w:t>
      </w:r>
      <w:r w:rsidR="001D64CB" w:rsidRPr="00313974">
        <w:rPr>
          <w:rFonts w:ascii="DecimaWE Rg" w:hAnsi="DecimaWE Rg"/>
        </w:rPr>
        <w:t xml:space="preserve">delle risorse trasferite ai sensi del comma </w:t>
      </w:r>
      <w:r w:rsidR="00292396">
        <w:rPr>
          <w:rFonts w:ascii="DecimaWE Rg" w:hAnsi="DecimaWE Rg"/>
        </w:rPr>
        <w:t>3</w:t>
      </w:r>
      <w:r w:rsidR="001D64CB" w:rsidRPr="00313974">
        <w:rPr>
          <w:rFonts w:ascii="DecimaWE Rg" w:hAnsi="DecimaWE Rg"/>
        </w:rPr>
        <w:t xml:space="preserve">, </w:t>
      </w:r>
      <w:r w:rsidR="00475A68">
        <w:rPr>
          <w:rFonts w:ascii="DecimaWE Rg" w:hAnsi="DecimaWE Rg"/>
        </w:rPr>
        <w:t>alla liquidazione e</w:t>
      </w:r>
      <w:r w:rsidR="000E0337">
        <w:rPr>
          <w:rFonts w:ascii="DecimaWE Rg" w:hAnsi="DecimaWE Rg"/>
        </w:rPr>
        <w:t xml:space="preserve"> pagamento </w:t>
      </w:r>
      <w:r w:rsidR="001D64CB" w:rsidRPr="00313974">
        <w:rPr>
          <w:rFonts w:ascii="DecimaWE Rg" w:hAnsi="DecimaWE Rg"/>
        </w:rPr>
        <w:t>del contributo concesso a f</w:t>
      </w:r>
      <w:r w:rsidR="00F523FD" w:rsidRPr="00313974">
        <w:rPr>
          <w:rFonts w:ascii="DecimaWE Rg" w:hAnsi="DecimaWE Rg"/>
        </w:rPr>
        <w:t xml:space="preserve">avore </w:t>
      </w:r>
      <w:r w:rsidR="00D2024C" w:rsidRPr="00313974">
        <w:rPr>
          <w:rFonts w:ascii="DecimaWE Rg" w:hAnsi="DecimaWE Rg"/>
        </w:rPr>
        <w:t>del privato beneficiario</w:t>
      </w:r>
      <w:r w:rsidR="00292396">
        <w:rPr>
          <w:rFonts w:ascii="DecimaWE Rg" w:hAnsi="DecimaWE Rg"/>
        </w:rPr>
        <w:t xml:space="preserve"> </w:t>
      </w:r>
      <w:r w:rsidR="00292396" w:rsidRPr="00562A4F">
        <w:rPr>
          <w:rFonts w:ascii="DecimaWE Rg" w:hAnsi="DecimaWE Rg"/>
        </w:rPr>
        <w:t xml:space="preserve">entro </w:t>
      </w:r>
      <w:r w:rsidR="00292396">
        <w:rPr>
          <w:rFonts w:ascii="DecimaWE Rg" w:hAnsi="DecimaWE Rg"/>
        </w:rPr>
        <w:t>30 giorni dal trasferimento delle risorse</w:t>
      </w:r>
      <w:r w:rsidR="000E0337">
        <w:rPr>
          <w:rFonts w:ascii="DecimaWE Rg" w:hAnsi="DecimaWE Rg"/>
        </w:rPr>
        <w:t xml:space="preserve"> e trasmette </w:t>
      </w:r>
      <w:r w:rsidR="00C449D3" w:rsidRPr="002F2BA2">
        <w:rPr>
          <w:rFonts w:ascii="DecimaWE Rg" w:hAnsi="DecimaWE Rg"/>
        </w:rPr>
        <w:t xml:space="preserve">all'indirizzo PEC </w:t>
      </w:r>
      <w:hyperlink r:id="rId11" w:history="1">
        <w:r w:rsidR="00692C60" w:rsidRPr="002F2BA2">
          <w:rPr>
            <w:rStyle w:val="Collegamentoipertestuale"/>
            <w:i/>
          </w:rPr>
          <w:t>emergenza.novembre2019@certregione.fvg.it</w:t>
        </w:r>
      </w:hyperlink>
      <w:r w:rsidR="00292396" w:rsidRPr="002F2BA2">
        <w:rPr>
          <w:rStyle w:val="Collegamentoipertestuale"/>
          <w:i/>
        </w:rPr>
        <w:t xml:space="preserve"> </w:t>
      </w:r>
      <w:r w:rsidR="000E0337" w:rsidRPr="002F2BA2">
        <w:rPr>
          <w:rFonts w:ascii="DecimaWE Rg" w:hAnsi="DecimaWE Rg"/>
        </w:rPr>
        <w:t xml:space="preserve">la </w:t>
      </w:r>
      <w:r w:rsidRPr="002F2BA2">
        <w:rPr>
          <w:rFonts w:ascii="DecimaWE Rg" w:hAnsi="DecimaWE Rg"/>
        </w:rPr>
        <w:t>rendicontazione dei pagamenti effettuati</w:t>
      </w:r>
      <w:r w:rsidR="00292396" w:rsidRPr="002F2BA2">
        <w:rPr>
          <w:rFonts w:ascii="DecimaWE Rg" w:hAnsi="DecimaWE Rg"/>
        </w:rPr>
        <w:t>.</w:t>
      </w:r>
    </w:p>
    <w:p w14:paraId="4F9AC1C1" w14:textId="77777777" w:rsidR="00C449D3" w:rsidRPr="002E15A2" w:rsidRDefault="00C449D3" w:rsidP="006E6806">
      <w:pPr>
        <w:jc w:val="both"/>
        <w:rPr>
          <w:rFonts w:ascii="DecimaWE Rg" w:hAnsi="DecimaWE Rg"/>
        </w:rPr>
      </w:pPr>
    </w:p>
    <w:p w14:paraId="2B542A47" w14:textId="56F3F458" w:rsidR="005F5B92" w:rsidRPr="002E15A2" w:rsidRDefault="00A22D93" w:rsidP="006E6806">
      <w:pPr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>Articolo 6</w:t>
      </w:r>
      <w:r w:rsidR="005F5B92" w:rsidRPr="002E15A2">
        <w:rPr>
          <w:rFonts w:ascii="DecimaWE Rg" w:hAnsi="DecimaWE Rg"/>
          <w:b/>
        </w:rPr>
        <w:t xml:space="preserve"> – decadenza dal contributo</w:t>
      </w:r>
    </w:p>
    <w:p w14:paraId="048AD45A" w14:textId="6AAA6A8D" w:rsidR="005F5B92" w:rsidRPr="002E15A2" w:rsidRDefault="005F5B92" w:rsidP="006E6806">
      <w:pPr>
        <w:pStyle w:val="Paragrafoelenco"/>
        <w:numPr>
          <w:ilvl w:val="0"/>
          <w:numId w:val="31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Il contributo non è concesso nei seguenti casi:</w:t>
      </w:r>
    </w:p>
    <w:p w14:paraId="26C680F6" w14:textId="75302709" w:rsidR="005F5B92" w:rsidRPr="002E15A2" w:rsidRDefault="000D5D6B" w:rsidP="006E6806">
      <w:pPr>
        <w:pStyle w:val="Paragrafoelenco"/>
        <w:numPr>
          <w:ilvl w:val="0"/>
          <w:numId w:val="32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c</w:t>
      </w:r>
      <w:r w:rsidR="005F5B92" w:rsidRPr="002E15A2">
        <w:rPr>
          <w:rFonts w:ascii="DecimaWE Rg" w:hAnsi="DecimaWE Rg"/>
        </w:rPr>
        <w:t>arenza di uno dei</w:t>
      </w:r>
      <w:r w:rsidR="005E086D" w:rsidRPr="002E15A2">
        <w:rPr>
          <w:rFonts w:ascii="DecimaWE Rg" w:hAnsi="DecimaWE Rg"/>
        </w:rPr>
        <w:t xml:space="preserve"> requisiti di cui all’Allegato B</w:t>
      </w:r>
      <w:r w:rsidR="005F5B92" w:rsidRPr="002E15A2">
        <w:rPr>
          <w:rFonts w:ascii="DecimaWE Rg" w:hAnsi="DecimaWE Rg"/>
        </w:rPr>
        <w:t xml:space="preserve"> all’OCDPC n. 932/2022;</w:t>
      </w:r>
    </w:p>
    <w:p w14:paraId="731253B2" w14:textId="67FFBBCE" w:rsidR="00AF7E18" w:rsidRPr="002E15A2" w:rsidRDefault="00AF7E18" w:rsidP="006E6806">
      <w:pPr>
        <w:pStyle w:val="Paragrafoelenco"/>
        <w:numPr>
          <w:ilvl w:val="0"/>
          <w:numId w:val="32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nei casi di cui all’</w:t>
      </w:r>
      <w:r w:rsidR="005F2580" w:rsidRPr="002E15A2">
        <w:rPr>
          <w:rFonts w:ascii="DecimaWE Rg" w:hAnsi="DecimaWE Rg"/>
        </w:rPr>
        <w:t>articolo 3</w:t>
      </w:r>
      <w:r w:rsidRPr="002E15A2">
        <w:rPr>
          <w:rFonts w:ascii="DecimaWE Rg" w:hAnsi="DecimaWE Rg"/>
        </w:rPr>
        <w:t>;</w:t>
      </w:r>
    </w:p>
    <w:p w14:paraId="446BF40E" w14:textId="1819BB2C" w:rsidR="0098515F" w:rsidRPr="002E15A2" w:rsidRDefault="0098515F" w:rsidP="006E6806">
      <w:pPr>
        <w:pStyle w:val="Paragrafoelenco"/>
        <w:numPr>
          <w:ilvl w:val="0"/>
          <w:numId w:val="31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 xml:space="preserve">Il contributo </w:t>
      </w:r>
      <w:r w:rsidR="000E0337">
        <w:rPr>
          <w:rFonts w:ascii="DecimaWE Rg" w:hAnsi="DecimaWE Rg"/>
        </w:rPr>
        <w:t xml:space="preserve">può essere </w:t>
      </w:r>
      <w:r w:rsidRPr="002E15A2">
        <w:rPr>
          <w:rFonts w:ascii="DecimaWE Rg" w:hAnsi="DecimaWE Rg"/>
        </w:rPr>
        <w:t>revoca</w:t>
      </w:r>
      <w:r w:rsidR="000A2C04" w:rsidRPr="002E15A2">
        <w:rPr>
          <w:rFonts w:ascii="DecimaWE Rg" w:hAnsi="DecimaWE Rg"/>
        </w:rPr>
        <w:t>to o rideterminato</w:t>
      </w:r>
      <w:r w:rsidRPr="002E15A2">
        <w:rPr>
          <w:rFonts w:ascii="DecimaWE Rg" w:hAnsi="DecimaWE Rg"/>
        </w:rPr>
        <w:t xml:space="preserve"> parzialmente:</w:t>
      </w:r>
    </w:p>
    <w:p w14:paraId="6DC39AF5" w14:textId="19E6DB97" w:rsidR="0098515F" w:rsidRPr="002E15A2" w:rsidRDefault="0098515F" w:rsidP="006E6806">
      <w:pPr>
        <w:pStyle w:val="Paragrafoelenco"/>
        <w:numPr>
          <w:ilvl w:val="0"/>
          <w:numId w:val="33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 xml:space="preserve">se </w:t>
      </w:r>
      <w:r w:rsidR="005F2580" w:rsidRPr="002E15A2">
        <w:rPr>
          <w:rFonts w:ascii="DecimaWE Rg" w:hAnsi="DecimaWE Rg"/>
        </w:rPr>
        <w:t>il privato beneficiario</w:t>
      </w:r>
      <w:r w:rsidRPr="002E15A2">
        <w:rPr>
          <w:rFonts w:ascii="DecimaWE Rg" w:hAnsi="DecimaWE Rg"/>
        </w:rPr>
        <w:t xml:space="preserve"> non provvede </w:t>
      </w:r>
      <w:r w:rsidR="000A2C04" w:rsidRPr="002E15A2">
        <w:rPr>
          <w:rFonts w:ascii="DecimaWE Rg" w:hAnsi="DecimaWE Rg"/>
        </w:rPr>
        <w:t xml:space="preserve">a trasmettere la documentazione </w:t>
      </w:r>
      <w:r w:rsidRPr="002E15A2">
        <w:rPr>
          <w:rFonts w:ascii="DecimaWE Rg" w:hAnsi="DecimaWE Rg"/>
        </w:rPr>
        <w:t>entro i termini</w:t>
      </w:r>
      <w:r w:rsidR="000A2C04" w:rsidRPr="002E15A2">
        <w:rPr>
          <w:rFonts w:ascii="DecimaWE Rg" w:hAnsi="DecimaWE Rg"/>
        </w:rPr>
        <w:t xml:space="preserve"> stabiliti</w:t>
      </w:r>
      <w:r w:rsidRPr="002E15A2">
        <w:rPr>
          <w:rFonts w:ascii="DecimaWE Rg" w:hAnsi="DecimaWE Rg"/>
        </w:rPr>
        <w:t xml:space="preserve">, ai sensi dell’articolo </w:t>
      </w:r>
      <w:r w:rsidR="000A2C04" w:rsidRPr="002E15A2">
        <w:rPr>
          <w:rFonts w:ascii="DecimaWE Rg" w:hAnsi="DecimaWE Rg"/>
        </w:rPr>
        <w:t>4</w:t>
      </w:r>
      <w:r w:rsidRPr="002E15A2">
        <w:rPr>
          <w:rFonts w:ascii="DecimaWE Rg" w:hAnsi="DecimaWE Rg"/>
        </w:rPr>
        <w:t xml:space="preserve"> del</w:t>
      </w:r>
      <w:r w:rsidR="00AF7E18" w:rsidRPr="002E15A2">
        <w:rPr>
          <w:rFonts w:ascii="DecimaWE Rg" w:hAnsi="DecimaWE Rg"/>
        </w:rPr>
        <w:t>le presenti modalità operative;</w:t>
      </w:r>
    </w:p>
    <w:p w14:paraId="5DFBCCA3" w14:textId="51218300" w:rsidR="00AF7E18" w:rsidRPr="002E15A2" w:rsidRDefault="00AF7E18" w:rsidP="006E6806">
      <w:pPr>
        <w:pStyle w:val="Paragrafoelenco"/>
        <w:numPr>
          <w:ilvl w:val="0"/>
          <w:numId w:val="33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 xml:space="preserve">se </w:t>
      </w:r>
      <w:r w:rsidR="005F2580" w:rsidRPr="002E15A2">
        <w:rPr>
          <w:rFonts w:ascii="DecimaWE Rg" w:hAnsi="DecimaWE Rg"/>
        </w:rPr>
        <w:t xml:space="preserve">il privato </w:t>
      </w:r>
      <w:r w:rsidR="00692C60">
        <w:rPr>
          <w:rFonts w:ascii="DecimaWE Rg" w:hAnsi="DecimaWE Rg"/>
        </w:rPr>
        <w:t>interessato</w:t>
      </w:r>
      <w:r w:rsidR="00692C60" w:rsidRPr="002E15A2">
        <w:rPr>
          <w:rFonts w:ascii="DecimaWE Rg" w:hAnsi="DecimaWE Rg"/>
        </w:rPr>
        <w:t xml:space="preserve"> </w:t>
      </w:r>
      <w:r w:rsidRPr="002E15A2">
        <w:rPr>
          <w:rFonts w:ascii="DecimaWE Rg" w:hAnsi="DecimaWE Rg"/>
        </w:rPr>
        <w:t>risulta aver beneficiato di ulteriori indennizzi/contributi e/o detrazioni sulle medesime categorie di spesa oggetto di contribuzione;</w:t>
      </w:r>
    </w:p>
    <w:p w14:paraId="6E5871AC" w14:textId="47359A97" w:rsidR="00AF7E18" w:rsidRPr="002E15A2" w:rsidRDefault="00AF7E18" w:rsidP="006E6806">
      <w:pPr>
        <w:pStyle w:val="Paragrafoelenco"/>
        <w:numPr>
          <w:ilvl w:val="0"/>
          <w:numId w:val="33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 xml:space="preserve">se il </w:t>
      </w:r>
      <w:r w:rsidR="005F2580" w:rsidRPr="002E15A2">
        <w:rPr>
          <w:rFonts w:ascii="DecimaWE Rg" w:hAnsi="DecimaWE Rg"/>
        </w:rPr>
        <w:t xml:space="preserve">privato </w:t>
      </w:r>
      <w:r w:rsidRPr="002E15A2">
        <w:rPr>
          <w:rFonts w:ascii="DecimaWE Rg" w:hAnsi="DecimaWE Rg"/>
        </w:rPr>
        <w:t>beneficiario rinuncia espressamente al contributo;</w:t>
      </w:r>
    </w:p>
    <w:p w14:paraId="6B9C137B" w14:textId="3A06CC25" w:rsidR="00AF7E18" w:rsidRPr="002E15A2" w:rsidRDefault="00AF7E18" w:rsidP="006E6806">
      <w:pPr>
        <w:pStyle w:val="Paragrafoelenco"/>
        <w:numPr>
          <w:ilvl w:val="0"/>
          <w:numId w:val="33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nei casi p</w:t>
      </w:r>
      <w:r w:rsidR="005F2580" w:rsidRPr="002E15A2">
        <w:rPr>
          <w:rFonts w:ascii="DecimaWE Rg" w:hAnsi="DecimaWE Rg"/>
        </w:rPr>
        <w:t>r</w:t>
      </w:r>
      <w:r w:rsidR="002E15A2" w:rsidRPr="002E15A2">
        <w:rPr>
          <w:rFonts w:ascii="DecimaWE Rg" w:hAnsi="DecimaWE Rg"/>
        </w:rPr>
        <w:t>evisti dall’articolo 3</w:t>
      </w:r>
      <w:r w:rsidRPr="002E15A2">
        <w:rPr>
          <w:rFonts w:ascii="DecimaWE Rg" w:hAnsi="DecimaWE Rg"/>
        </w:rPr>
        <w:t>;</w:t>
      </w:r>
    </w:p>
    <w:p w14:paraId="00FDD150" w14:textId="0BB4FBA1" w:rsidR="00AF7E18" w:rsidRPr="002E15A2" w:rsidRDefault="00AF7E18" w:rsidP="006E6806">
      <w:pPr>
        <w:pStyle w:val="Paragrafoelenco"/>
        <w:numPr>
          <w:ilvl w:val="0"/>
          <w:numId w:val="33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nei casi in cui la spesa rendicontata sia difforme rispetto agli interventi preventivati in domanda</w:t>
      </w:r>
      <w:r w:rsidR="00C30F69" w:rsidRPr="002E15A2">
        <w:rPr>
          <w:rFonts w:ascii="DecimaWE Rg" w:hAnsi="DecimaWE Rg"/>
        </w:rPr>
        <w:t>.</w:t>
      </w:r>
    </w:p>
    <w:p w14:paraId="78C1718E" w14:textId="77777777" w:rsidR="0034096F" w:rsidRDefault="0034096F" w:rsidP="00CE7332">
      <w:pPr>
        <w:jc w:val="both"/>
        <w:rPr>
          <w:b/>
        </w:rPr>
      </w:pPr>
    </w:p>
    <w:p w14:paraId="6386723E" w14:textId="7CFA3170" w:rsidR="004A33D6" w:rsidRPr="002E15A2" w:rsidRDefault="004A33D6" w:rsidP="00CE7332">
      <w:pPr>
        <w:jc w:val="both"/>
        <w:rPr>
          <w:b/>
        </w:rPr>
      </w:pPr>
      <w:r w:rsidRPr="002E15A2">
        <w:rPr>
          <w:b/>
        </w:rPr>
        <w:t xml:space="preserve">Articolo </w:t>
      </w:r>
      <w:r w:rsidR="00A22D93">
        <w:rPr>
          <w:b/>
        </w:rPr>
        <w:t>9</w:t>
      </w:r>
      <w:r w:rsidR="00233B99" w:rsidRPr="002E15A2">
        <w:rPr>
          <w:b/>
        </w:rPr>
        <w:t xml:space="preserve"> </w:t>
      </w:r>
      <w:r w:rsidRPr="002E15A2">
        <w:rPr>
          <w:b/>
        </w:rPr>
        <w:t>– Trattamento dei dati personali</w:t>
      </w:r>
    </w:p>
    <w:p w14:paraId="37D98FB6" w14:textId="7E370ED0" w:rsidR="0002326A" w:rsidRPr="002E15A2" w:rsidRDefault="008D64A4" w:rsidP="006E6806">
      <w:pPr>
        <w:pStyle w:val="Paragrafoelenco"/>
        <w:numPr>
          <w:ilvl w:val="0"/>
          <w:numId w:val="36"/>
        </w:numPr>
        <w:jc w:val="both"/>
        <w:rPr>
          <w:rFonts w:ascii="DecimaWE Rg" w:hAnsi="DecimaWE Rg"/>
        </w:rPr>
      </w:pPr>
      <w:r w:rsidRPr="002E15A2">
        <w:rPr>
          <w:rFonts w:ascii="DecimaWE Rg" w:hAnsi="DecimaWE Rg"/>
        </w:rPr>
        <w:t>Il Comune individuato Soggetto Attuatore è responsabile del trattamento dei dati acquisiti ai sensi del Decreto Legislativo 196/2003, come modificato dal Decreto Legislativo 10 agosto 2018, n. 101 in relazione alle atti</w:t>
      </w:r>
      <w:bookmarkStart w:id="0" w:name="_GoBack"/>
      <w:bookmarkEnd w:id="0"/>
      <w:r w:rsidRPr="002E15A2">
        <w:rPr>
          <w:rFonts w:ascii="DecimaWE Rg" w:hAnsi="DecimaWE Rg"/>
        </w:rPr>
        <w:t>vità di i</w:t>
      </w:r>
      <w:r w:rsidR="000A2C04" w:rsidRPr="002E15A2">
        <w:rPr>
          <w:rFonts w:ascii="DecimaWE Rg" w:hAnsi="DecimaWE Rg"/>
        </w:rPr>
        <w:t>struttoria</w:t>
      </w:r>
      <w:r w:rsidRPr="002E15A2">
        <w:rPr>
          <w:rFonts w:ascii="DecimaWE Rg" w:hAnsi="DecimaWE Rg"/>
        </w:rPr>
        <w:t>. Detti dati sono oggetto di trattamento esclusivamente per lo svolgimento delle funzioni finalizzate alla concessione dei contributi in oggetto e possono essere comunicati ad altri soggetti pubblici o privati per le medesime finalità.</w:t>
      </w:r>
    </w:p>
    <w:p w14:paraId="6C51B6A6" w14:textId="79E8C46D" w:rsidR="0002326A" w:rsidRPr="002E15A2" w:rsidRDefault="0002326A" w:rsidP="006E6806">
      <w:pPr>
        <w:pStyle w:val="Paragrafoelenco"/>
        <w:ind w:left="0"/>
        <w:contextualSpacing w:val="0"/>
        <w:jc w:val="both"/>
        <w:rPr>
          <w:rFonts w:ascii="DecimaWE Rg" w:hAnsi="DecimaWE Rg"/>
        </w:rPr>
      </w:pPr>
    </w:p>
    <w:sectPr w:rsidR="0002326A" w:rsidRPr="002E15A2" w:rsidSect="00133288">
      <w:headerReference w:type="default" r:id="rId12"/>
      <w:footerReference w:type="default" r:id="rId13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02E54" w14:textId="77777777" w:rsidR="0000239E" w:rsidRDefault="0000239E" w:rsidP="00F91C8C">
      <w:pPr>
        <w:spacing w:after="0" w:line="240" w:lineRule="auto"/>
      </w:pPr>
      <w:r>
        <w:separator/>
      </w:r>
    </w:p>
  </w:endnote>
  <w:endnote w:type="continuationSeparator" w:id="0">
    <w:p w14:paraId="6505C47D" w14:textId="77777777" w:rsidR="0000239E" w:rsidRDefault="0000239E" w:rsidP="00F9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578934"/>
      <w:docPartObj>
        <w:docPartGallery w:val="Page Numbers (Bottom of Page)"/>
        <w:docPartUnique/>
      </w:docPartObj>
    </w:sdtPr>
    <w:sdtEndPr/>
    <w:sdtContent>
      <w:p w14:paraId="4DA38779" w14:textId="14903AFA" w:rsidR="002012A0" w:rsidRDefault="002012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93">
          <w:rPr>
            <w:noProof/>
          </w:rPr>
          <w:t>2</w:t>
        </w:r>
        <w:r>
          <w:fldChar w:fldCharType="end"/>
        </w:r>
      </w:p>
    </w:sdtContent>
  </w:sdt>
  <w:p w14:paraId="1C1D5670" w14:textId="77777777" w:rsidR="002012A0" w:rsidRDefault="002012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35A7" w14:textId="77777777" w:rsidR="0000239E" w:rsidRDefault="0000239E" w:rsidP="00F91C8C">
      <w:pPr>
        <w:spacing w:after="0" w:line="240" w:lineRule="auto"/>
      </w:pPr>
      <w:r>
        <w:separator/>
      </w:r>
    </w:p>
  </w:footnote>
  <w:footnote w:type="continuationSeparator" w:id="0">
    <w:p w14:paraId="6DE3E015" w14:textId="77777777" w:rsidR="0000239E" w:rsidRDefault="0000239E" w:rsidP="00F9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22DC" w14:textId="77777777" w:rsidR="00F91C8C" w:rsidRPr="00F91C8C" w:rsidRDefault="00F91C8C" w:rsidP="00F91C8C">
    <w:pPr>
      <w:pStyle w:val="Intestazione"/>
      <w:spacing w:line="36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9806B9"/>
    <w:multiLevelType w:val="hybridMultilevel"/>
    <w:tmpl w:val="6CE65F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1ADA45"/>
    <w:multiLevelType w:val="hybridMultilevel"/>
    <w:tmpl w:val="9B6B19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132DA"/>
    <w:multiLevelType w:val="hybridMultilevel"/>
    <w:tmpl w:val="86A7A1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4E1A7F"/>
    <w:multiLevelType w:val="hybridMultilevel"/>
    <w:tmpl w:val="015A5A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130A51"/>
    <w:multiLevelType w:val="hybridMultilevel"/>
    <w:tmpl w:val="246820B2"/>
    <w:lvl w:ilvl="0" w:tplc="A13A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81D25"/>
    <w:multiLevelType w:val="hybridMultilevel"/>
    <w:tmpl w:val="9FAAD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72A"/>
    <w:multiLevelType w:val="hybridMultilevel"/>
    <w:tmpl w:val="6D0A7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A2CD4"/>
    <w:multiLevelType w:val="hybridMultilevel"/>
    <w:tmpl w:val="79D2F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1F66"/>
    <w:multiLevelType w:val="hybridMultilevel"/>
    <w:tmpl w:val="665E8B0C"/>
    <w:lvl w:ilvl="0" w:tplc="3566D6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6762E4"/>
    <w:multiLevelType w:val="hybridMultilevel"/>
    <w:tmpl w:val="EB1C0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F2D39"/>
    <w:multiLevelType w:val="hybridMultilevel"/>
    <w:tmpl w:val="0846C2C2"/>
    <w:lvl w:ilvl="0" w:tplc="B3A66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65A8B"/>
    <w:multiLevelType w:val="hybridMultilevel"/>
    <w:tmpl w:val="337A1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E27"/>
    <w:multiLevelType w:val="hybridMultilevel"/>
    <w:tmpl w:val="CAE8B7D2"/>
    <w:lvl w:ilvl="0" w:tplc="78586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7E45"/>
    <w:multiLevelType w:val="hybridMultilevel"/>
    <w:tmpl w:val="D7C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7E94"/>
    <w:multiLevelType w:val="hybridMultilevel"/>
    <w:tmpl w:val="CF9AC024"/>
    <w:lvl w:ilvl="0" w:tplc="64128FE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817300"/>
    <w:multiLevelType w:val="hybridMultilevel"/>
    <w:tmpl w:val="39BA0C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C73"/>
    <w:multiLevelType w:val="hybridMultilevel"/>
    <w:tmpl w:val="9C480C22"/>
    <w:lvl w:ilvl="0" w:tplc="29BE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02AC7"/>
    <w:multiLevelType w:val="hybridMultilevel"/>
    <w:tmpl w:val="FDDEF3CA"/>
    <w:lvl w:ilvl="0" w:tplc="FF260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52719"/>
    <w:multiLevelType w:val="hybridMultilevel"/>
    <w:tmpl w:val="E0AE2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517FF"/>
    <w:multiLevelType w:val="hybridMultilevel"/>
    <w:tmpl w:val="E8465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04D06"/>
    <w:multiLevelType w:val="hybridMultilevel"/>
    <w:tmpl w:val="89726C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562D"/>
    <w:multiLevelType w:val="hybridMultilevel"/>
    <w:tmpl w:val="E078F9E0"/>
    <w:lvl w:ilvl="0" w:tplc="8D22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B3CEC"/>
    <w:multiLevelType w:val="hybridMultilevel"/>
    <w:tmpl w:val="A7C84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458"/>
    <w:multiLevelType w:val="hybridMultilevel"/>
    <w:tmpl w:val="3F865C4C"/>
    <w:lvl w:ilvl="0" w:tplc="F73EA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832B0"/>
    <w:multiLevelType w:val="hybridMultilevel"/>
    <w:tmpl w:val="907A3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96249"/>
    <w:multiLevelType w:val="hybridMultilevel"/>
    <w:tmpl w:val="18ACD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917B3"/>
    <w:multiLevelType w:val="hybridMultilevel"/>
    <w:tmpl w:val="AA3E85F6"/>
    <w:lvl w:ilvl="0" w:tplc="3566D6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566D6C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BD5766"/>
    <w:multiLevelType w:val="hybridMultilevel"/>
    <w:tmpl w:val="B8449A3A"/>
    <w:lvl w:ilvl="0" w:tplc="3B8A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55304"/>
    <w:multiLevelType w:val="hybridMultilevel"/>
    <w:tmpl w:val="D7C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308AF"/>
    <w:multiLevelType w:val="hybridMultilevel"/>
    <w:tmpl w:val="CC5C8A88"/>
    <w:lvl w:ilvl="0" w:tplc="0CA442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05E28"/>
    <w:multiLevelType w:val="hybridMultilevel"/>
    <w:tmpl w:val="EAC891B2"/>
    <w:lvl w:ilvl="0" w:tplc="8A4E6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85CE8"/>
    <w:multiLevelType w:val="hybridMultilevel"/>
    <w:tmpl w:val="B052C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4752E"/>
    <w:multiLevelType w:val="hybridMultilevel"/>
    <w:tmpl w:val="8C46F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61F53"/>
    <w:multiLevelType w:val="hybridMultilevel"/>
    <w:tmpl w:val="C3396C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E5E6336"/>
    <w:multiLevelType w:val="hybridMultilevel"/>
    <w:tmpl w:val="D6121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B42A4"/>
    <w:multiLevelType w:val="hybridMultilevel"/>
    <w:tmpl w:val="A62C6404"/>
    <w:lvl w:ilvl="0" w:tplc="CE2C0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A5B9F"/>
    <w:multiLevelType w:val="hybridMultilevel"/>
    <w:tmpl w:val="CE4E4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43924"/>
    <w:multiLevelType w:val="hybridMultilevel"/>
    <w:tmpl w:val="B03A2B40"/>
    <w:lvl w:ilvl="0" w:tplc="A698C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33C7B"/>
    <w:multiLevelType w:val="hybridMultilevel"/>
    <w:tmpl w:val="DEF01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7958"/>
    <w:multiLevelType w:val="hybridMultilevel"/>
    <w:tmpl w:val="0B38B7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1C22B9A">
      <w:numFmt w:val="bullet"/>
      <w:lvlText w:val="-"/>
      <w:lvlJc w:val="left"/>
      <w:pPr>
        <w:ind w:left="1866" w:hanging="360"/>
      </w:pPr>
      <w:rPr>
        <w:rFonts w:ascii="DecimaWE Rg" w:eastAsiaTheme="minorHAnsi" w:hAnsi="DecimaWE Rg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943E02"/>
    <w:multiLevelType w:val="hybridMultilevel"/>
    <w:tmpl w:val="1ACEC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4"/>
  </w:num>
  <w:num w:numId="4">
    <w:abstractNumId w:val="22"/>
  </w:num>
  <w:num w:numId="5">
    <w:abstractNumId w:val="14"/>
  </w:num>
  <w:num w:numId="6">
    <w:abstractNumId w:val="5"/>
  </w:num>
  <w:num w:numId="7">
    <w:abstractNumId w:val="34"/>
  </w:num>
  <w:num w:numId="8">
    <w:abstractNumId w:val="20"/>
  </w:num>
  <w:num w:numId="9">
    <w:abstractNumId w:val="37"/>
  </w:num>
  <w:num w:numId="10">
    <w:abstractNumId w:val="2"/>
  </w:num>
  <w:num w:numId="11">
    <w:abstractNumId w:val="33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12"/>
  </w:num>
  <w:num w:numId="17">
    <w:abstractNumId w:val="10"/>
  </w:num>
  <w:num w:numId="18">
    <w:abstractNumId w:val="38"/>
  </w:num>
  <w:num w:numId="19">
    <w:abstractNumId w:val="7"/>
  </w:num>
  <w:num w:numId="20">
    <w:abstractNumId w:val="28"/>
  </w:num>
  <w:num w:numId="21">
    <w:abstractNumId w:val="19"/>
  </w:num>
  <w:num w:numId="22">
    <w:abstractNumId w:val="31"/>
  </w:num>
  <w:num w:numId="23">
    <w:abstractNumId w:val="38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30"/>
  </w:num>
  <w:num w:numId="25">
    <w:abstractNumId w:val="9"/>
  </w:num>
  <w:num w:numId="26">
    <w:abstractNumId w:val="29"/>
  </w:num>
  <w:num w:numId="27">
    <w:abstractNumId w:val="4"/>
  </w:num>
  <w:num w:numId="28">
    <w:abstractNumId w:val="16"/>
  </w:num>
  <w:num w:numId="29">
    <w:abstractNumId w:val="17"/>
  </w:num>
  <w:num w:numId="30">
    <w:abstractNumId w:val="35"/>
  </w:num>
  <w:num w:numId="31">
    <w:abstractNumId w:val="11"/>
  </w:num>
  <w:num w:numId="32">
    <w:abstractNumId w:val="23"/>
  </w:num>
  <w:num w:numId="33">
    <w:abstractNumId w:val="27"/>
  </w:num>
  <w:num w:numId="34">
    <w:abstractNumId w:val="25"/>
  </w:num>
  <w:num w:numId="35">
    <w:abstractNumId w:val="40"/>
  </w:num>
  <w:num w:numId="36">
    <w:abstractNumId w:val="13"/>
  </w:num>
  <w:num w:numId="37">
    <w:abstractNumId w:val="18"/>
  </w:num>
  <w:num w:numId="38">
    <w:abstractNumId w:val="6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1"/>
  </w:num>
  <w:num w:numId="40">
    <w:abstractNumId w:val="36"/>
  </w:num>
  <w:num w:numId="41">
    <w:abstractNumId w:val="39"/>
  </w:num>
  <w:num w:numId="42">
    <w:abstractNumId w:val="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A3"/>
    <w:rsid w:val="0000239E"/>
    <w:rsid w:val="00002F1B"/>
    <w:rsid w:val="00003812"/>
    <w:rsid w:val="00006C17"/>
    <w:rsid w:val="0002326A"/>
    <w:rsid w:val="000309BB"/>
    <w:rsid w:val="00030B41"/>
    <w:rsid w:val="00052AE8"/>
    <w:rsid w:val="00055CF5"/>
    <w:rsid w:val="00066A5B"/>
    <w:rsid w:val="00075CAB"/>
    <w:rsid w:val="00097BFE"/>
    <w:rsid w:val="000A2C04"/>
    <w:rsid w:val="000A314D"/>
    <w:rsid w:val="000B6AD0"/>
    <w:rsid w:val="000C1161"/>
    <w:rsid w:val="000D5D6B"/>
    <w:rsid w:val="000E0337"/>
    <w:rsid w:val="0010306E"/>
    <w:rsid w:val="001176C5"/>
    <w:rsid w:val="001233DA"/>
    <w:rsid w:val="0012472B"/>
    <w:rsid w:val="0012527A"/>
    <w:rsid w:val="00133288"/>
    <w:rsid w:val="00143025"/>
    <w:rsid w:val="0014383A"/>
    <w:rsid w:val="001532AC"/>
    <w:rsid w:val="0019274C"/>
    <w:rsid w:val="001C5DEA"/>
    <w:rsid w:val="001D64CB"/>
    <w:rsid w:val="002012A0"/>
    <w:rsid w:val="00210E3F"/>
    <w:rsid w:val="0021539E"/>
    <w:rsid w:val="002231D5"/>
    <w:rsid w:val="00233B99"/>
    <w:rsid w:val="00236F19"/>
    <w:rsid w:val="00254F37"/>
    <w:rsid w:val="00255F46"/>
    <w:rsid w:val="00264EF3"/>
    <w:rsid w:val="00292396"/>
    <w:rsid w:val="002A2C51"/>
    <w:rsid w:val="002A6C73"/>
    <w:rsid w:val="002B7D77"/>
    <w:rsid w:val="002D1980"/>
    <w:rsid w:val="002E15A2"/>
    <w:rsid w:val="002E27EF"/>
    <w:rsid w:val="002E5825"/>
    <w:rsid w:val="002F2BA2"/>
    <w:rsid w:val="003065ED"/>
    <w:rsid w:val="00313974"/>
    <w:rsid w:val="00321B61"/>
    <w:rsid w:val="0034096F"/>
    <w:rsid w:val="003447CA"/>
    <w:rsid w:val="00357953"/>
    <w:rsid w:val="00371FDF"/>
    <w:rsid w:val="00374495"/>
    <w:rsid w:val="003D672A"/>
    <w:rsid w:val="003F0FE5"/>
    <w:rsid w:val="00411339"/>
    <w:rsid w:val="00412CAD"/>
    <w:rsid w:val="00432177"/>
    <w:rsid w:val="00435D42"/>
    <w:rsid w:val="00436E09"/>
    <w:rsid w:val="00447DC7"/>
    <w:rsid w:val="0045232F"/>
    <w:rsid w:val="00464F6D"/>
    <w:rsid w:val="00466573"/>
    <w:rsid w:val="00474061"/>
    <w:rsid w:val="00475A68"/>
    <w:rsid w:val="004A33D6"/>
    <w:rsid w:val="004B21D8"/>
    <w:rsid w:val="004B7576"/>
    <w:rsid w:val="004C329D"/>
    <w:rsid w:val="004C3FDD"/>
    <w:rsid w:val="004E70A3"/>
    <w:rsid w:val="0051225F"/>
    <w:rsid w:val="005313C9"/>
    <w:rsid w:val="00533F52"/>
    <w:rsid w:val="00543F41"/>
    <w:rsid w:val="00564260"/>
    <w:rsid w:val="0056669D"/>
    <w:rsid w:val="00567430"/>
    <w:rsid w:val="00573634"/>
    <w:rsid w:val="00583BE1"/>
    <w:rsid w:val="005A6351"/>
    <w:rsid w:val="005B4489"/>
    <w:rsid w:val="005E086D"/>
    <w:rsid w:val="005E598D"/>
    <w:rsid w:val="005F2580"/>
    <w:rsid w:val="005F5B92"/>
    <w:rsid w:val="00600928"/>
    <w:rsid w:val="00601DD9"/>
    <w:rsid w:val="00605996"/>
    <w:rsid w:val="00612FF7"/>
    <w:rsid w:val="006139A7"/>
    <w:rsid w:val="00637329"/>
    <w:rsid w:val="006665C2"/>
    <w:rsid w:val="00667F57"/>
    <w:rsid w:val="00676B8A"/>
    <w:rsid w:val="00692C60"/>
    <w:rsid w:val="006A6C6C"/>
    <w:rsid w:val="006B52E4"/>
    <w:rsid w:val="006C2EB9"/>
    <w:rsid w:val="006E6806"/>
    <w:rsid w:val="006F6E06"/>
    <w:rsid w:val="006F77C2"/>
    <w:rsid w:val="00706523"/>
    <w:rsid w:val="007142D2"/>
    <w:rsid w:val="00726E81"/>
    <w:rsid w:val="00734355"/>
    <w:rsid w:val="00744D40"/>
    <w:rsid w:val="007453D3"/>
    <w:rsid w:val="00781160"/>
    <w:rsid w:val="007A359C"/>
    <w:rsid w:val="007A621D"/>
    <w:rsid w:val="007B004C"/>
    <w:rsid w:val="007B0F43"/>
    <w:rsid w:val="007D217F"/>
    <w:rsid w:val="0082155D"/>
    <w:rsid w:val="00827AC2"/>
    <w:rsid w:val="0084351E"/>
    <w:rsid w:val="00851272"/>
    <w:rsid w:val="00851A29"/>
    <w:rsid w:val="008523A2"/>
    <w:rsid w:val="00861775"/>
    <w:rsid w:val="008745F4"/>
    <w:rsid w:val="00875311"/>
    <w:rsid w:val="00875693"/>
    <w:rsid w:val="00882883"/>
    <w:rsid w:val="00882EFF"/>
    <w:rsid w:val="00895E25"/>
    <w:rsid w:val="008A34CF"/>
    <w:rsid w:val="008B055F"/>
    <w:rsid w:val="008D6262"/>
    <w:rsid w:val="008D64A4"/>
    <w:rsid w:val="008E2568"/>
    <w:rsid w:val="008E7147"/>
    <w:rsid w:val="009127B9"/>
    <w:rsid w:val="00930CE4"/>
    <w:rsid w:val="00951E16"/>
    <w:rsid w:val="009841DB"/>
    <w:rsid w:val="0098515F"/>
    <w:rsid w:val="009A1B0B"/>
    <w:rsid w:val="009B4EB8"/>
    <w:rsid w:val="009D2C19"/>
    <w:rsid w:val="00A17346"/>
    <w:rsid w:val="00A22D93"/>
    <w:rsid w:val="00A324E5"/>
    <w:rsid w:val="00A33B6C"/>
    <w:rsid w:val="00A3578B"/>
    <w:rsid w:val="00A401DB"/>
    <w:rsid w:val="00A42EC4"/>
    <w:rsid w:val="00A50CA6"/>
    <w:rsid w:val="00A54DE1"/>
    <w:rsid w:val="00A60942"/>
    <w:rsid w:val="00AA0827"/>
    <w:rsid w:val="00AD2BAA"/>
    <w:rsid w:val="00AD2E0A"/>
    <w:rsid w:val="00AF7E18"/>
    <w:rsid w:val="00B254E2"/>
    <w:rsid w:val="00B34258"/>
    <w:rsid w:val="00B3725C"/>
    <w:rsid w:val="00B43A22"/>
    <w:rsid w:val="00B64762"/>
    <w:rsid w:val="00B707E8"/>
    <w:rsid w:val="00B72835"/>
    <w:rsid w:val="00B76960"/>
    <w:rsid w:val="00B8251D"/>
    <w:rsid w:val="00B82D76"/>
    <w:rsid w:val="00B85080"/>
    <w:rsid w:val="00BB4D16"/>
    <w:rsid w:val="00BB53E8"/>
    <w:rsid w:val="00BB5CDD"/>
    <w:rsid w:val="00BC07FF"/>
    <w:rsid w:val="00BE24E2"/>
    <w:rsid w:val="00BF1184"/>
    <w:rsid w:val="00C00F25"/>
    <w:rsid w:val="00C220C4"/>
    <w:rsid w:val="00C24259"/>
    <w:rsid w:val="00C30F69"/>
    <w:rsid w:val="00C4122F"/>
    <w:rsid w:val="00C449D3"/>
    <w:rsid w:val="00C44EE6"/>
    <w:rsid w:val="00C800B7"/>
    <w:rsid w:val="00CA1185"/>
    <w:rsid w:val="00CB4890"/>
    <w:rsid w:val="00CC23D7"/>
    <w:rsid w:val="00CE7332"/>
    <w:rsid w:val="00CF008E"/>
    <w:rsid w:val="00CF2DFC"/>
    <w:rsid w:val="00D06FA8"/>
    <w:rsid w:val="00D07060"/>
    <w:rsid w:val="00D10AEE"/>
    <w:rsid w:val="00D2024C"/>
    <w:rsid w:val="00D57B36"/>
    <w:rsid w:val="00D75DAB"/>
    <w:rsid w:val="00D9175C"/>
    <w:rsid w:val="00D93BD5"/>
    <w:rsid w:val="00DC7A50"/>
    <w:rsid w:val="00E3718A"/>
    <w:rsid w:val="00E44BF2"/>
    <w:rsid w:val="00E456FF"/>
    <w:rsid w:val="00E5498E"/>
    <w:rsid w:val="00E61045"/>
    <w:rsid w:val="00E713BE"/>
    <w:rsid w:val="00EF1CF6"/>
    <w:rsid w:val="00F523FD"/>
    <w:rsid w:val="00F53FE8"/>
    <w:rsid w:val="00F579E8"/>
    <w:rsid w:val="00F7054B"/>
    <w:rsid w:val="00F836EF"/>
    <w:rsid w:val="00F85E83"/>
    <w:rsid w:val="00F91C8C"/>
    <w:rsid w:val="00F92DBF"/>
    <w:rsid w:val="00F96204"/>
    <w:rsid w:val="00FD7DB9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D5535"/>
  <w15:chartTrackingRefBased/>
  <w15:docId w15:val="{80F108CD-E74E-4E83-AA0A-E7C337F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8C"/>
  </w:style>
  <w:style w:type="paragraph" w:styleId="Pidipagina">
    <w:name w:val="footer"/>
    <w:basedOn w:val="Normale"/>
    <w:link w:val="PidipaginaCarattere"/>
    <w:uiPriority w:val="99"/>
    <w:unhideWhenUsed/>
    <w:rsid w:val="00F91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8C"/>
  </w:style>
  <w:style w:type="paragraph" w:styleId="Paragrafoelenco">
    <w:name w:val="List Paragraph"/>
    <w:basedOn w:val="Normale"/>
    <w:uiPriority w:val="34"/>
    <w:qFormat/>
    <w:rsid w:val="00F91C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328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9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7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D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3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3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3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3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32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5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za.novembre2019@certregione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ergenza.novembre2019@certregione.fvg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rgenza.novembre2019@certregione.fv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otezionecivile.fvg.it/it/contributi-danni-priv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za.novembre@certregione.fv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Martino Hanna</dc:creator>
  <cp:keywords/>
  <dc:description/>
  <cp:lastModifiedBy>De Martino Hanna</cp:lastModifiedBy>
  <cp:revision>4</cp:revision>
  <cp:lastPrinted>2023-09-25T10:30:00Z</cp:lastPrinted>
  <dcterms:created xsi:type="dcterms:W3CDTF">2024-01-25T08:36:00Z</dcterms:created>
  <dcterms:modified xsi:type="dcterms:W3CDTF">2024-12-19T09:45:00Z</dcterms:modified>
</cp:coreProperties>
</file>